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52967" w14:textId="7392A359" w:rsidR="003D3F40" w:rsidRDefault="003D3F40" w:rsidP="00E23FC3">
      <w:pPr>
        <w:ind w:right="-589" w:hanging="851"/>
        <w:rPr>
          <w:b/>
          <w:color w:val="4F6228" w:themeColor="accent3" w:themeShade="80"/>
          <w:sz w:val="24"/>
          <w:szCs w:val="24"/>
          <w:highlight w:val="lightGray"/>
        </w:rPr>
      </w:pPr>
      <w:bookmarkStart w:id="0" w:name="_GoBack"/>
      <w:bookmarkEnd w:id="0"/>
    </w:p>
    <w:tbl>
      <w:tblPr>
        <w:tblStyle w:val="TableGrid"/>
        <w:tblW w:w="22397" w:type="dxa"/>
        <w:tblInd w:w="-601" w:type="dxa"/>
        <w:tblLook w:val="04A0" w:firstRow="1" w:lastRow="0" w:firstColumn="1" w:lastColumn="0" w:noHBand="0" w:noVBand="1"/>
      </w:tblPr>
      <w:tblGrid>
        <w:gridCol w:w="6946"/>
        <w:gridCol w:w="6096"/>
        <w:gridCol w:w="4536"/>
        <w:gridCol w:w="4819"/>
      </w:tblGrid>
      <w:tr w:rsidR="0001550E" w14:paraId="092E451C" w14:textId="77777777" w:rsidTr="007630A0">
        <w:tc>
          <w:tcPr>
            <w:tcW w:w="6946" w:type="dxa"/>
            <w:tcBorders>
              <w:top w:val="nil"/>
              <w:left w:val="nil"/>
              <w:bottom w:val="nil"/>
              <w:right w:val="single" w:sz="4" w:space="0" w:color="auto"/>
            </w:tcBorders>
          </w:tcPr>
          <w:p w14:paraId="5D43C9B5" w14:textId="67916097" w:rsidR="0001550E" w:rsidRPr="00CF4A70" w:rsidRDefault="00CF4A70" w:rsidP="00DE45AD">
            <w:pPr>
              <w:spacing w:after="60"/>
              <w:ind w:right="-589" w:firstLine="34"/>
              <w:rPr>
                <w:b/>
                <w:color w:val="0000FF"/>
                <w:sz w:val="28"/>
                <w:szCs w:val="28"/>
              </w:rPr>
            </w:pPr>
            <w:r>
              <w:rPr>
                <w:b/>
                <w:noProof/>
                <w:color w:val="4F6228" w:themeColor="accent3" w:themeShade="80"/>
                <w:sz w:val="24"/>
                <w:szCs w:val="24"/>
                <w:lang w:eastAsia="en-AU"/>
              </w:rPr>
              <w:drawing>
                <wp:anchor distT="0" distB="0" distL="114300" distR="114300" simplePos="0" relativeHeight="251658240" behindDoc="1" locked="0" layoutInCell="1" allowOverlap="1" wp14:anchorId="5AF85083" wp14:editId="0F92BD9D">
                  <wp:simplePos x="0" y="0"/>
                  <wp:positionH relativeFrom="column">
                    <wp:posOffset>17780</wp:posOffset>
                  </wp:positionH>
                  <wp:positionV relativeFrom="paragraph">
                    <wp:posOffset>253365</wp:posOffset>
                  </wp:positionV>
                  <wp:extent cx="647700" cy="626110"/>
                  <wp:effectExtent l="0" t="0" r="0" b="2540"/>
                  <wp:wrapTight wrapText="bothSides">
                    <wp:wrapPolygon edited="0">
                      <wp:start x="0" y="0"/>
                      <wp:lineTo x="0" y="21030"/>
                      <wp:lineTo x="20965" y="21030"/>
                      <wp:lineTo x="209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ondale Logo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626110"/>
                          </a:xfrm>
                          <a:prstGeom prst="rect">
                            <a:avLst/>
                          </a:prstGeom>
                        </pic:spPr>
                      </pic:pic>
                    </a:graphicData>
                  </a:graphic>
                  <wp14:sizeRelH relativeFrom="page">
                    <wp14:pctWidth>0</wp14:pctWidth>
                  </wp14:sizeRelH>
                  <wp14:sizeRelV relativeFrom="page">
                    <wp14:pctHeight>0</wp14:pctHeight>
                  </wp14:sizeRelV>
                </wp:anchor>
              </w:drawing>
            </w:r>
            <w:r w:rsidR="00795460" w:rsidRPr="00CF4A70">
              <w:rPr>
                <w:b/>
                <w:color w:val="0000FF"/>
                <w:sz w:val="24"/>
                <w:szCs w:val="24"/>
              </w:rPr>
              <w:t>Avondale Primary School 4812</w:t>
            </w:r>
            <w:r w:rsidR="00795460" w:rsidRPr="00BE50E2">
              <w:rPr>
                <w:b/>
                <w:color w:val="0000FF"/>
                <w:sz w:val="24"/>
                <w:szCs w:val="24"/>
              </w:rPr>
              <w:t xml:space="preserve"> Strategic Plan 2018</w:t>
            </w:r>
            <w:r w:rsidR="0001550E" w:rsidRPr="00BE50E2">
              <w:rPr>
                <w:b/>
                <w:color w:val="0000FF"/>
                <w:sz w:val="24"/>
                <w:szCs w:val="24"/>
              </w:rPr>
              <w:t>-20</w:t>
            </w:r>
            <w:r w:rsidR="00795460" w:rsidRPr="00BE50E2">
              <w:rPr>
                <w:b/>
                <w:color w:val="0000FF"/>
                <w:sz w:val="24"/>
                <w:szCs w:val="24"/>
              </w:rPr>
              <w:t>21</w:t>
            </w:r>
          </w:p>
          <w:p w14:paraId="5443513F" w14:textId="58524797" w:rsidR="0001550E" w:rsidRDefault="0001550E" w:rsidP="00CF4A70">
            <w:pPr>
              <w:ind w:right="-589" w:firstLine="34"/>
              <w:rPr>
                <w:b/>
                <w:color w:val="4F6228" w:themeColor="accent3" w:themeShade="80"/>
                <w:sz w:val="24"/>
                <w:szCs w:val="24"/>
                <w:highlight w:val="lightGray"/>
              </w:rPr>
            </w:pPr>
          </w:p>
        </w:tc>
        <w:tc>
          <w:tcPr>
            <w:tcW w:w="6096" w:type="dxa"/>
            <w:tcBorders>
              <w:left w:val="single" w:sz="4" w:space="0" w:color="auto"/>
              <w:right w:val="nil"/>
            </w:tcBorders>
          </w:tcPr>
          <w:p w14:paraId="0104ECDB" w14:textId="77777777" w:rsidR="0001550E" w:rsidRPr="00300E45" w:rsidRDefault="0001550E" w:rsidP="003D3F40">
            <w:pPr>
              <w:ind w:right="-52"/>
              <w:rPr>
                <w:b/>
                <w:sz w:val="18"/>
                <w:szCs w:val="18"/>
              </w:rPr>
            </w:pPr>
            <w:r>
              <w:rPr>
                <w:b/>
                <w:sz w:val="18"/>
                <w:szCs w:val="18"/>
              </w:rPr>
              <w:t>E</w:t>
            </w:r>
            <w:r w:rsidRPr="00300E45">
              <w:rPr>
                <w:b/>
                <w:sz w:val="18"/>
                <w:szCs w:val="18"/>
              </w:rPr>
              <w:t>ndorsement</w:t>
            </w:r>
          </w:p>
          <w:p w14:paraId="34FF363F" w14:textId="78B0A6AF" w:rsidR="0001550E" w:rsidRDefault="0001550E" w:rsidP="003D3F40">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sidRPr="00300E45">
              <w:rPr>
                <w:sz w:val="18"/>
                <w:szCs w:val="18"/>
              </w:rPr>
              <w:t>Principal:</w:t>
            </w:r>
            <w:r w:rsidRPr="00300E45">
              <w:rPr>
                <w:sz w:val="18"/>
                <w:szCs w:val="18"/>
              </w:rPr>
              <w:tab/>
            </w:r>
            <w:r w:rsidRPr="00300E45">
              <w:rPr>
                <w:sz w:val="18"/>
                <w:szCs w:val="18"/>
              </w:rPr>
              <w:tab/>
            </w:r>
            <w:r>
              <w:rPr>
                <w:sz w:val="18"/>
                <w:szCs w:val="18"/>
              </w:rPr>
              <w:tab/>
            </w:r>
            <w:r w:rsidR="00260719" w:rsidRPr="00CF4A70">
              <w:rPr>
                <w:color w:val="0000FF"/>
                <w:sz w:val="18"/>
                <w:szCs w:val="18"/>
                <w:highlight w:val="lightGray"/>
              </w:rPr>
              <w:t>Paul Mulroyan</w:t>
            </w:r>
            <w:r w:rsidRPr="009C1955">
              <w:rPr>
                <w:sz w:val="18"/>
                <w:szCs w:val="18"/>
              </w:rPr>
              <w:tab/>
            </w:r>
            <w:r w:rsidRPr="00907788">
              <w:rPr>
                <w:sz w:val="18"/>
                <w:szCs w:val="18"/>
                <w:highlight w:val="lightGray"/>
              </w:rPr>
              <w:t>[date]</w:t>
            </w:r>
          </w:p>
          <w:p w14:paraId="3DD0DA91" w14:textId="4FF8FAC8" w:rsidR="0001550E" w:rsidRPr="00300E45" w:rsidRDefault="0001550E" w:rsidP="003D3F40">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sidRPr="00300E45">
              <w:rPr>
                <w:sz w:val="18"/>
                <w:szCs w:val="18"/>
              </w:rPr>
              <w:t xml:space="preserve">School </w:t>
            </w:r>
            <w:r>
              <w:rPr>
                <w:sz w:val="18"/>
                <w:szCs w:val="18"/>
              </w:rPr>
              <w:t>c</w:t>
            </w:r>
            <w:r w:rsidRPr="00300E45">
              <w:rPr>
                <w:sz w:val="18"/>
                <w:szCs w:val="18"/>
              </w:rPr>
              <w:t>ouncil:</w:t>
            </w:r>
            <w:r>
              <w:rPr>
                <w:sz w:val="18"/>
                <w:szCs w:val="18"/>
              </w:rPr>
              <w:tab/>
            </w:r>
            <w:r>
              <w:rPr>
                <w:sz w:val="18"/>
                <w:szCs w:val="18"/>
              </w:rPr>
              <w:tab/>
            </w:r>
            <w:r w:rsidR="00260719" w:rsidRPr="00CF4A70">
              <w:rPr>
                <w:color w:val="0000FF"/>
                <w:sz w:val="18"/>
                <w:szCs w:val="18"/>
                <w:highlight w:val="lightGray"/>
              </w:rPr>
              <w:t>Nicole Mina</w:t>
            </w:r>
            <w:r>
              <w:rPr>
                <w:sz w:val="18"/>
                <w:szCs w:val="18"/>
              </w:rPr>
              <w:tab/>
            </w:r>
            <w:r w:rsidRPr="00907788">
              <w:rPr>
                <w:sz w:val="18"/>
                <w:szCs w:val="18"/>
                <w:highlight w:val="lightGray"/>
              </w:rPr>
              <w:t>[date]</w:t>
            </w:r>
          </w:p>
          <w:p w14:paraId="105DBD31" w14:textId="77777777" w:rsidR="0001550E" w:rsidRDefault="0001550E" w:rsidP="003D3F40">
            <w:pPr>
              <w:tabs>
                <w:tab w:val="left" w:pos="5954"/>
                <w:tab w:val="left" w:pos="7371"/>
                <w:tab w:val="left" w:leader="dot" w:pos="9639"/>
                <w:tab w:val="left" w:pos="11199"/>
              </w:tabs>
              <w:ind w:right="-51"/>
              <w:rPr>
                <w:sz w:val="18"/>
                <w:szCs w:val="18"/>
              </w:rPr>
            </w:pPr>
            <w:r w:rsidRPr="00300E45">
              <w:rPr>
                <w:sz w:val="18"/>
                <w:szCs w:val="18"/>
              </w:rPr>
              <w:t xml:space="preserve">Delegate of the </w:t>
            </w:r>
          </w:p>
          <w:p w14:paraId="3590C49D" w14:textId="28565C42" w:rsidR="0001550E" w:rsidRDefault="0001550E" w:rsidP="003D3F40">
            <w:pPr>
              <w:tabs>
                <w:tab w:val="left" w:pos="993"/>
                <w:tab w:val="left" w:leader="dot" w:pos="3686"/>
                <w:tab w:val="left" w:pos="3828"/>
                <w:tab w:val="left" w:pos="5245"/>
                <w:tab w:val="left" w:pos="5954"/>
              </w:tabs>
              <w:spacing w:line="360" w:lineRule="auto"/>
              <w:ind w:right="-51"/>
              <w:rPr>
                <w:b/>
                <w:color w:val="4F6228" w:themeColor="accent3" w:themeShade="80"/>
                <w:sz w:val="24"/>
                <w:szCs w:val="24"/>
                <w:highlight w:val="lightGray"/>
              </w:rPr>
            </w:pPr>
            <w:r w:rsidRPr="00300E45">
              <w:rPr>
                <w:sz w:val="18"/>
                <w:szCs w:val="18"/>
              </w:rPr>
              <w:t>Secretary:</w:t>
            </w:r>
            <w:r w:rsidRPr="00300E45">
              <w:rPr>
                <w:sz w:val="18"/>
                <w:szCs w:val="18"/>
              </w:rPr>
              <w:tab/>
            </w:r>
            <w:r>
              <w:rPr>
                <w:sz w:val="18"/>
                <w:szCs w:val="18"/>
              </w:rPr>
              <w:tab/>
            </w:r>
            <w:r>
              <w:rPr>
                <w:sz w:val="18"/>
                <w:szCs w:val="18"/>
              </w:rPr>
              <w:tab/>
            </w:r>
            <w:r w:rsidR="00260719" w:rsidRPr="00CF4A70">
              <w:rPr>
                <w:color w:val="0000FF"/>
                <w:sz w:val="18"/>
                <w:szCs w:val="18"/>
                <w:highlight w:val="lightGray"/>
              </w:rPr>
              <w:t>Mona Malouf</w:t>
            </w:r>
            <w:r>
              <w:rPr>
                <w:sz w:val="18"/>
                <w:szCs w:val="18"/>
              </w:rPr>
              <w:tab/>
            </w:r>
            <w:r w:rsidRPr="00907788">
              <w:rPr>
                <w:sz w:val="18"/>
                <w:szCs w:val="18"/>
                <w:highlight w:val="lightGray"/>
              </w:rPr>
              <w:t>[date]</w:t>
            </w:r>
            <w:r>
              <w:rPr>
                <w:sz w:val="18"/>
                <w:szCs w:val="18"/>
              </w:rPr>
              <w:t xml:space="preserve">   </w:t>
            </w:r>
          </w:p>
        </w:tc>
        <w:tc>
          <w:tcPr>
            <w:tcW w:w="4536" w:type="dxa"/>
            <w:tcBorders>
              <w:left w:val="nil"/>
              <w:right w:val="nil"/>
            </w:tcBorders>
          </w:tcPr>
          <w:p w14:paraId="333F1444" w14:textId="39A6728B" w:rsidR="0001550E" w:rsidRPr="000940D9" w:rsidRDefault="0001550E" w:rsidP="0001550E">
            <w:pPr>
              <w:ind w:right="-52"/>
              <w:rPr>
                <w:sz w:val="18"/>
                <w:szCs w:val="18"/>
              </w:rPr>
            </w:pPr>
            <w:r>
              <w:rPr>
                <w:b/>
                <w:sz w:val="18"/>
                <w:szCs w:val="18"/>
              </w:rPr>
              <w:t>Re-E</w:t>
            </w:r>
            <w:r w:rsidRPr="00300E45">
              <w:rPr>
                <w:b/>
                <w:sz w:val="18"/>
                <w:szCs w:val="18"/>
              </w:rPr>
              <w:t>ndorsement</w:t>
            </w:r>
            <w:r w:rsidR="004E7450">
              <w:rPr>
                <w:b/>
                <w:sz w:val="18"/>
                <w:szCs w:val="18"/>
              </w:rPr>
              <w:t xml:space="preserve"> </w:t>
            </w:r>
            <w:r w:rsidRPr="000940D9">
              <w:rPr>
                <w:sz w:val="18"/>
                <w:szCs w:val="18"/>
              </w:rPr>
              <w:t>(if a Goal, KIS or Target is change</w:t>
            </w:r>
            <w:r>
              <w:rPr>
                <w:sz w:val="18"/>
                <w:szCs w:val="18"/>
              </w:rPr>
              <w:t>d</w:t>
            </w:r>
            <w:r w:rsidRPr="000940D9">
              <w:rPr>
                <w:sz w:val="18"/>
                <w:szCs w:val="18"/>
              </w:rPr>
              <w:t>)</w:t>
            </w:r>
          </w:p>
          <w:p w14:paraId="32CEF18F" w14:textId="16EBE3D6" w:rsidR="0001550E"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0001550E" w:rsidRPr="00907788">
              <w:rPr>
                <w:sz w:val="18"/>
                <w:szCs w:val="18"/>
                <w:highlight w:val="lightGray"/>
              </w:rPr>
              <w:t>[name]</w:t>
            </w:r>
            <w:r w:rsidR="0001550E" w:rsidRPr="009C1955">
              <w:rPr>
                <w:sz w:val="18"/>
                <w:szCs w:val="18"/>
              </w:rPr>
              <w:tab/>
            </w:r>
            <w:r w:rsidR="0001550E" w:rsidRPr="00907788">
              <w:rPr>
                <w:sz w:val="18"/>
                <w:szCs w:val="18"/>
                <w:highlight w:val="lightGray"/>
              </w:rPr>
              <w:t>[date]</w:t>
            </w:r>
          </w:p>
          <w:p w14:paraId="738C3EE2"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5AE3FE25" w14:textId="77777777" w:rsidR="007630A0" w:rsidRDefault="007630A0" w:rsidP="0001550E">
            <w:pPr>
              <w:tabs>
                <w:tab w:val="left" w:pos="5954"/>
                <w:tab w:val="left" w:pos="7371"/>
                <w:tab w:val="left" w:leader="dot" w:pos="9639"/>
                <w:tab w:val="left" w:pos="11199"/>
              </w:tabs>
              <w:ind w:right="-51"/>
              <w:rPr>
                <w:sz w:val="18"/>
                <w:szCs w:val="18"/>
              </w:rPr>
            </w:pPr>
          </w:p>
          <w:p w14:paraId="1A0C2A99" w14:textId="45AB7650" w:rsidR="0001550E" w:rsidRPr="007630A0" w:rsidRDefault="007630A0" w:rsidP="007630A0">
            <w:pPr>
              <w:tabs>
                <w:tab w:val="left" w:pos="993"/>
                <w:tab w:val="left" w:leader="dot" w:pos="3686"/>
                <w:tab w:val="left" w:pos="3828"/>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tc>
        <w:tc>
          <w:tcPr>
            <w:tcW w:w="4819" w:type="dxa"/>
            <w:tcBorders>
              <w:left w:val="nil"/>
            </w:tcBorders>
          </w:tcPr>
          <w:p w14:paraId="3F452CE0" w14:textId="18064138" w:rsidR="0001550E" w:rsidRDefault="0001550E" w:rsidP="003D3F40">
            <w:pPr>
              <w:ind w:right="-52"/>
              <w:rPr>
                <w:b/>
                <w:sz w:val="18"/>
                <w:szCs w:val="18"/>
              </w:rPr>
            </w:pPr>
            <w:r>
              <w:rPr>
                <w:b/>
                <w:sz w:val="18"/>
                <w:szCs w:val="18"/>
              </w:rPr>
              <w:t>Re-e</w:t>
            </w:r>
            <w:r w:rsidRPr="00300E45">
              <w:rPr>
                <w:b/>
                <w:sz w:val="18"/>
                <w:szCs w:val="18"/>
              </w:rPr>
              <w:t>ndorsement</w:t>
            </w:r>
            <w:r w:rsidR="004E7450">
              <w:rPr>
                <w:b/>
                <w:sz w:val="18"/>
                <w:szCs w:val="18"/>
              </w:rPr>
              <w:t xml:space="preserve"> </w:t>
            </w:r>
            <w:r w:rsidR="007630A0" w:rsidRPr="000940D9">
              <w:rPr>
                <w:sz w:val="18"/>
                <w:szCs w:val="18"/>
              </w:rPr>
              <w:t>(if a Goal, KIS or Target is change</w:t>
            </w:r>
            <w:r w:rsidR="007630A0">
              <w:rPr>
                <w:sz w:val="18"/>
                <w:szCs w:val="18"/>
              </w:rPr>
              <w:t>d</w:t>
            </w:r>
            <w:r w:rsidR="007630A0" w:rsidRPr="000940D9">
              <w:rPr>
                <w:sz w:val="18"/>
                <w:szCs w:val="18"/>
              </w:rPr>
              <w:t>)</w:t>
            </w:r>
          </w:p>
          <w:p w14:paraId="27C6ADD2"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0C070764"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04B3405A" w14:textId="77777777" w:rsidR="007630A0" w:rsidRDefault="007630A0" w:rsidP="007630A0">
            <w:pPr>
              <w:tabs>
                <w:tab w:val="left" w:pos="5954"/>
                <w:tab w:val="left" w:pos="7371"/>
                <w:tab w:val="left" w:leader="dot" w:pos="9639"/>
                <w:tab w:val="left" w:pos="11199"/>
              </w:tabs>
              <w:ind w:right="-51"/>
              <w:rPr>
                <w:sz w:val="18"/>
                <w:szCs w:val="18"/>
              </w:rPr>
            </w:pPr>
          </w:p>
          <w:p w14:paraId="0DD39600" w14:textId="6BB878EF" w:rsidR="0001550E" w:rsidRDefault="007630A0" w:rsidP="007630A0">
            <w:pPr>
              <w:tabs>
                <w:tab w:val="left" w:pos="993"/>
                <w:tab w:val="left" w:leader="dot" w:pos="3686"/>
                <w:tab w:val="left" w:pos="3828"/>
                <w:tab w:val="left" w:pos="5245"/>
                <w:tab w:val="left" w:pos="5954"/>
                <w:tab w:val="left" w:leader="dot" w:pos="9356"/>
                <w:tab w:val="left" w:pos="9639"/>
                <w:tab w:val="left" w:pos="11199"/>
              </w:tabs>
              <w:ind w:right="-51"/>
              <w:rPr>
                <w:b/>
                <w:color w:val="4F6228" w:themeColor="accent3" w:themeShade="80"/>
                <w:sz w:val="24"/>
                <w:szCs w:val="24"/>
                <w:highlight w:val="lightGray"/>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tc>
      </w:tr>
    </w:tbl>
    <w:p w14:paraId="63C066B6" w14:textId="38F570DA" w:rsidR="000940D9" w:rsidRDefault="000940D9" w:rsidP="00C57A73">
      <w:pPr>
        <w:spacing w:after="120"/>
      </w:pPr>
    </w:p>
    <w:tbl>
      <w:tblPr>
        <w:tblStyle w:val="TableGrid"/>
        <w:tblW w:w="22539" w:type="dxa"/>
        <w:tblInd w:w="-743" w:type="dxa"/>
        <w:tblLook w:val="04A0" w:firstRow="1" w:lastRow="0" w:firstColumn="1" w:lastColumn="0" w:noHBand="0" w:noVBand="1"/>
      </w:tblPr>
      <w:tblGrid>
        <w:gridCol w:w="5274"/>
        <w:gridCol w:w="3090"/>
        <w:gridCol w:w="6946"/>
        <w:gridCol w:w="7229"/>
      </w:tblGrid>
      <w:tr w:rsidR="00B85BE6" w14:paraId="6C64BF12" w14:textId="77777777" w:rsidTr="006E44AB">
        <w:tc>
          <w:tcPr>
            <w:tcW w:w="5274" w:type="dxa"/>
            <w:shd w:val="clear" w:color="auto" w:fill="C2D69B" w:themeFill="accent3" w:themeFillTint="99"/>
          </w:tcPr>
          <w:p w14:paraId="40E92809" w14:textId="2B0783E9" w:rsidR="00B85BE6" w:rsidRDefault="00B85BE6" w:rsidP="00B85BE6">
            <w:pPr>
              <w:spacing w:before="120"/>
              <w:rPr>
                <w:b/>
                <w:sz w:val="18"/>
                <w:szCs w:val="18"/>
              </w:rPr>
            </w:pPr>
            <w:r>
              <w:rPr>
                <w:b/>
                <w:sz w:val="18"/>
                <w:szCs w:val="18"/>
              </w:rPr>
              <w:t>School vision</w:t>
            </w:r>
          </w:p>
        </w:tc>
        <w:tc>
          <w:tcPr>
            <w:tcW w:w="3090" w:type="dxa"/>
            <w:shd w:val="clear" w:color="auto" w:fill="C2D69B" w:themeFill="accent3" w:themeFillTint="99"/>
          </w:tcPr>
          <w:p w14:paraId="54238858" w14:textId="5086219D" w:rsidR="00B85BE6" w:rsidRDefault="00B85BE6" w:rsidP="00B85BE6">
            <w:pPr>
              <w:spacing w:before="120"/>
              <w:rPr>
                <w:b/>
                <w:sz w:val="18"/>
                <w:szCs w:val="18"/>
              </w:rPr>
            </w:pPr>
            <w:r>
              <w:rPr>
                <w:b/>
                <w:sz w:val="18"/>
                <w:szCs w:val="18"/>
              </w:rPr>
              <w:t>School values</w:t>
            </w:r>
          </w:p>
        </w:tc>
        <w:tc>
          <w:tcPr>
            <w:tcW w:w="6946" w:type="dxa"/>
            <w:shd w:val="clear" w:color="auto" w:fill="C2D69B" w:themeFill="accent3" w:themeFillTint="99"/>
          </w:tcPr>
          <w:p w14:paraId="35B2B76A" w14:textId="0C8A6E59" w:rsidR="00B85BE6" w:rsidRPr="00907788" w:rsidRDefault="006569E2" w:rsidP="00B85BE6">
            <w:pPr>
              <w:spacing w:before="120"/>
              <w:rPr>
                <w:b/>
                <w:sz w:val="18"/>
                <w:szCs w:val="18"/>
              </w:rPr>
            </w:pPr>
            <w:r>
              <w:rPr>
                <w:b/>
                <w:sz w:val="18"/>
                <w:szCs w:val="18"/>
              </w:rPr>
              <w:t>Context and challenges</w:t>
            </w:r>
          </w:p>
          <w:p w14:paraId="3466307B" w14:textId="1BFAAC63" w:rsidR="00B85BE6" w:rsidRDefault="00B85BE6" w:rsidP="00B85BE6">
            <w:pPr>
              <w:spacing w:before="120"/>
              <w:rPr>
                <w:b/>
                <w:sz w:val="18"/>
                <w:szCs w:val="18"/>
              </w:rPr>
            </w:pPr>
          </w:p>
        </w:tc>
        <w:tc>
          <w:tcPr>
            <w:tcW w:w="7229" w:type="dxa"/>
            <w:shd w:val="clear" w:color="auto" w:fill="C2D69B" w:themeFill="accent3" w:themeFillTint="99"/>
          </w:tcPr>
          <w:p w14:paraId="369EBA9A" w14:textId="7E7363B5" w:rsidR="00B85BE6" w:rsidRPr="00907788" w:rsidRDefault="006569E2" w:rsidP="00665F3B">
            <w:pPr>
              <w:spacing w:before="120"/>
              <w:ind w:right="-108"/>
              <w:rPr>
                <w:b/>
                <w:sz w:val="18"/>
                <w:szCs w:val="18"/>
              </w:rPr>
            </w:pPr>
            <w:r>
              <w:rPr>
                <w:b/>
                <w:sz w:val="18"/>
                <w:szCs w:val="18"/>
              </w:rPr>
              <w:t xml:space="preserve">Intent, </w:t>
            </w:r>
            <w:r w:rsidR="003A73ED">
              <w:rPr>
                <w:b/>
                <w:sz w:val="18"/>
                <w:szCs w:val="18"/>
              </w:rPr>
              <w:t xml:space="preserve">rationale and </w:t>
            </w:r>
            <w:r>
              <w:rPr>
                <w:b/>
                <w:sz w:val="18"/>
                <w:szCs w:val="18"/>
              </w:rPr>
              <w:t>focus</w:t>
            </w:r>
          </w:p>
          <w:p w14:paraId="710AC9D5" w14:textId="4E2B7CE3" w:rsidR="00B85BE6" w:rsidRDefault="00B85BE6" w:rsidP="00B85BE6">
            <w:pPr>
              <w:spacing w:before="120"/>
              <w:rPr>
                <w:b/>
                <w:sz w:val="18"/>
                <w:szCs w:val="18"/>
              </w:rPr>
            </w:pPr>
          </w:p>
        </w:tc>
      </w:tr>
      <w:tr w:rsidR="00B85BE6" w14:paraId="0638071A" w14:textId="77777777" w:rsidTr="006E44AB">
        <w:trPr>
          <w:trHeight w:val="244"/>
        </w:trPr>
        <w:tc>
          <w:tcPr>
            <w:tcW w:w="5274" w:type="dxa"/>
            <w:vMerge w:val="restart"/>
          </w:tcPr>
          <w:p w14:paraId="5074E647" w14:textId="2467ECB5" w:rsidR="00161EDE" w:rsidRDefault="00EC4E52" w:rsidP="00161EDE">
            <w:pPr>
              <w:suppressAutoHyphens/>
              <w:jc w:val="both"/>
              <w:rPr>
                <w:rFonts w:ascii="Arial" w:hAnsi="Arial" w:cs="Arial"/>
                <w:color w:val="0000FF"/>
                <w:spacing w:val="-3"/>
                <w:sz w:val="20"/>
                <w:szCs w:val="20"/>
              </w:rPr>
            </w:pPr>
            <w:r w:rsidRPr="00CF4A70">
              <w:rPr>
                <w:rFonts w:ascii="Arial" w:hAnsi="Arial" w:cs="Arial"/>
                <w:color w:val="0000FF"/>
                <w:spacing w:val="-3"/>
                <w:sz w:val="20"/>
                <w:szCs w:val="20"/>
              </w:rPr>
              <w:t>Staff</w:t>
            </w:r>
            <w:r w:rsidR="00161EDE" w:rsidRPr="00CF4A70">
              <w:rPr>
                <w:rFonts w:ascii="Arial" w:hAnsi="Arial" w:cs="Arial"/>
                <w:color w:val="0000FF"/>
                <w:spacing w:val="-3"/>
                <w:sz w:val="20"/>
                <w:szCs w:val="20"/>
              </w:rPr>
              <w:t xml:space="preserve"> actively engage each student in </w:t>
            </w:r>
            <w:r w:rsidRPr="00CF4A70">
              <w:rPr>
                <w:rFonts w:ascii="Arial" w:hAnsi="Arial" w:cs="Arial"/>
                <w:color w:val="0000FF"/>
                <w:spacing w:val="-3"/>
                <w:sz w:val="20"/>
                <w:szCs w:val="20"/>
              </w:rPr>
              <w:t>their</w:t>
            </w:r>
            <w:r w:rsidR="00161EDE" w:rsidRPr="00CF4A70">
              <w:rPr>
                <w:rFonts w:ascii="Arial" w:hAnsi="Arial" w:cs="Arial"/>
                <w:color w:val="0000FF"/>
                <w:spacing w:val="-3"/>
                <w:sz w:val="20"/>
                <w:szCs w:val="20"/>
              </w:rPr>
              <w:t xml:space="preserve"> learning. </w:t>
            </w:r>
            <w:r w:rsidR="008A7687">
              <w:rPr>
                <w:rFonts w:ascii="Arial" w:hAnsi="Arial" w:cs="Arial"/>
                <w:color w:val="0000FF"/>
                <w:spacing w:val="-3"/>
                <w:sz w:val="20"/>
                <w:szCs w:val="20"/>
              </w:rPr>
              <w:t xml:space="preserve"> </w:t>
            </w:r>
            <w:r w:rsidR="00161EDE" w:rsidRPr="00CF4A70">
              <w:rPr>
                <w:rFonts w:ascii="Arial" w:hAnsi="Arial" w:cs="Arial"/>
                <w:color w:val="0000FF"/>
                <w:spacing w:val="-3"/>
                <w:sz w:val="20"/>
                <w:szCs w:val="20"/>
              </w:rPr>
              <w:t xml:space="preserve">Teachers </w:t>
            </w:r>
            <w:r w:rsidRPr="00CF4A70">
              <w:rPr>
                <w:rFonts w:ascii="Arial" w:hAnsi="Arial" w:cs="Arial"/>
                <w:color w:val="0000FF"/>
                <w:spacing w:val="-3"/>
                <w:sz w:val="20"/>
                <w:szCs w:val="20"/>
              </w:rPr>
              <w:t>provide</w:t>
            </w:r>
            <w:r w:rsidR="00161EDE" w:rsidRPr="00CF4A70">
              <w:rPr>
                <w:rFonts w:ascii="Arial" w:hAnsi="Arial" w:cs="Arial"/>
                <w:color w:val="0000FF"/>
                <w:spacing w:val="-3"/>
                <w:sz w:val="20"/>
                <w:szCs w:val="20"/>
              </w:rPr>
              <w:t xml:space="preserve"> lessons that ap</w:t>
            </w:r>
            <w:r w:rsidR="008A7687">
              <w:rPr>
                <w:rFonts w:ascii="Arial" w:hAnsi="Arial" w:cs="Arial"/>
                <w:color w:val="0000FF"/>
                <w:spacing w:val="-3"/>
                <w:sz w:val="20"/>
                <w:szCs w:val="20"/>
              </w:rPr>
              <w:t>propriately challenge</w:t>
            </w:r>
            <w:r w:rsidRPr="00CF4A70">
              <w:rPr>
                <w:rFonts w:ascii="Arial" w:hAnsi="Arial" w:cs="Arial"/>
                <w:color w:val="0000FF"/>
                <w:spacing w:val="-3"/>
                <w:sz w:val="20"/>
                <w:szCs w:val="20"/>
              </w:rPr>
              <w:t xml:space="preserve"> each</w:t>
            </w:r>
            <w:r w:rsidR="00161EDE" w:rsidRPr="00CF4A70">
              <w:rPr>
                <w:rFonts w:ascii="Arial" w:hAnsi="Arial" w:cs="Arial"/>
                <w:color w:val="0000FF"/>
                <w:spacing w:val="-3"/>
                <w:sz w:val="20"/>
                <w:szCs w:val="20"/>
              </w:rPr>
              <w:t xml:space="preserve"> student to provide maximum opportunity for growth.</w:t>
            </w:r>
          </w:p>
          <w:p w14:paraId="41F09646" w14:textId="77777777" w:rsidR="008A7687" w:rsidRPr="00CF4A70" w:rsidRDefault="008A7687" w:rsidP="00161EDE">
            <w:pPr>
              <w:suppressAutoHyphens/>
              <w:jc w:val="both"/>
              <w:rPr>
                <w:rFonts w:ascii="Arial" w:hAnsi="Arial" w:cs="Arial"/>
                <w:color w:val="0000FF"/>
                <w:spacing w:val="-3"/>
                <w:sz w:val="20"/>
                <w:szCs w:val="20"/>
              </w:rPr>
            </w:pPr>
          </w:p>
          <w:p w14:paraId="2BEF7004" w14:textId="45C1CFF3" w:rsidR="008A7687" w:rsidRDefault="008A7687" w:rsidP="00161EDE">
            <w:pPr>
              <w:suppressAutoHyphens/>
              <w:jc w:val="both"/>
              <w:rPr>
                <w:rFonts w:ascii="Arial" w:hAnsi="Arial" w:cs="Arial"/>
                <w:color w:val="0000FF"/>
                <w:spacing w:val="-3"/>
                <w:sz w:val="20"/>
                <w:szCs w:val="20"/>
              </w:rPr>
            </w:pPr>
            <w:r>
              <w:rPr>
                <w:rFonts w:ascii="Arial" w:hAnsi="Arial" w:cs="Arial"/>
                <w:color w:val="0000FF"/>
                <w:spacing w:val="-3"/>
                <w:sz w:val="20"/>
                <w:szCs w:val="20"/>
              </w:rPr>
              <w:t>S</w:t>
            </w:r>
            <w:r w:rsidRPr="00CF4A70">
              <w:rPr>
                <w:rFonts w:ascii="Arial" w:hAnsi="Arial" w:cs="Arial"/>
                <w:color w:val="0000FF"/>
                <w:spacing w:val="-3"/>
                <w:sz w:val="20"/>
                <w:szCs w:val="20"/>
              </w:rPr>
              <w:t>taff engage, inspire and ignite a passion for learning in every student. We do this through immersing students in literature, arts, physical development, sports, and science. We develop social and environmental awareness by studying world cultures and Australian history</w:t>
            </w:r>
            <w:r>
              <w:rPr>
                <w:rFonts w:ascii="Arial" w:hAnsi="Arial" w:cs="Arial"/>
                <w:color w:val="0000FF"/>
                <w:spacing w:val="-3"/>
                <w:sz w:val="20"/>
                <w:szCs w:val="20"/>
              </w:rPr>
              <w:t xml:space="preserve">. </w:t>
            </w:r>
          </w:p>
          <w:p w14:paraId="375372EC" w14:textId="77777777" w:rsidR="008A7687" w:rsidRDefault="008A7687" w:rsidP="00161EDE">
            <w:pPr>
              <w:suppressAutoHyphens/>
              <w:jc w:val="both"/>
              <w:rPr>
                <w:rFonts w:ascii="Arial" w:hAnsi="Arial" w:cs="Arial"/>
                <w:color w:val="0000FF"/>
                <w:spacing w:val="-3"/>
                <w:sz w:val="20"/>
                <w:szCs w:val="20"/>
              </w:rPr>
            </w:pPr>
          </w:p>
          <w:p w14:paraId="7BB3C482" w14:textId="1F20A118" w:rsidR="00B85BE6" w:rsidRPr="008A7687" w:rsidRDefault="008A7687" w:rsidP="005B0742">
            <w:pPr>
              <w:suppressAutoHyphens/>
              <w:jc w:val="both"/>
              <w:rPr>
                <w:rFonts w:ascii="Arial" w:hAnsi="Arial" w:cs="Arial"/>
                <w:color w:val="0000FF"/>
                <w:spacing w:val="-3"/>
                <w:sz w:val="20"/>
                <w:szCs w:val="20"/>
              </w:rPr>
            </w:pPr>
            <w:r>
              <w:rPr>
                <w:rFonts w:ascii="Arial" w:hAnsi="Arial" w:cs="Arial"/>
                <w:color w:val="0000FF"/>
                <w:spacing w:val="-3"/>
                <w:sz w:val="20"/>
                <w:szCs w:val="20"/>
              </w:rPr>
              <w:t>E</w:t>
            </w:r>
            <w:r w:rsidR="00161EDE" w:rsidRPr="00CF4A70">
              <w:rPr>
                <w:rFonts w:ascii="Arial" w:hAnsi="Arial" w:cs="Arial"/>
                <w:color w:val="0000FF"/>
                <w:spacing w:val="-3"/>
                <w:sz w:val="20"/>
                <w:szCs w:val="20"/>
              </w:rPr>
              <w:t xml:space="preserve">very student </w:t>
            </w:r>
            <w:r w:rsidR="00EC4E52" w:rsidRPr="00CF4A70">
              <w:rPr>
                <w:rFonts w:ascii="Arial" w:hAnsi="Arial" w:cs="Arial"/>
                <w:color w:val="0000FF"/>
                <w:spacing w:val="-3"/>
                <w:sz w:val="20"/>
                <w:szCs w:val="20"/>
              </w:rPr>
              <w:t xml:space="preserve">is taught </w:t>
            </w:r>
            <w:r w:rsidR="00161EDE" w:rsidRPr="00CF4A70">
              <w:rPr>
                <w:rFonts w:ascii="Arial" w:hAnsi="Arial" w:cs="Arial"/>
                <w:color w:val="0000FF"/>
                <w:spacing w:val="-3"/>
                <w:sz w:val="20"/>
                <w:szCs w:val="20"/>
              </w:rPr>
              <w:t>to read independently, speak coherently, express ideas clearly in writing and have basic numeracy concepts and skills.</w:t>
            </w:r>
          </w:p>
        </w:tc>
        <w:tc>
          <w:tcPr>
            <w:tcW w:w="3090" w:type="dxa"/>
            <w:vMerge w:val="restart"/>
          </w:tcPr>
          <w:p w14:paraId="6BF19A1F" w14:textId="28C33E15" w:rsidR="00260719" w:rsidRPr="00CF4A70" w:rsidRDefault="00260719" w:rsidP="00260719">
            <w:pPr>
              <w:suppressAutoHyphens/>
              <w:rPr>
                <w:rFonts w:ascii="Arial" w:hAnsi="Arial" w:cs="Arial"/>
                <w:color w:val="0000FF"/>
                <w:spacing w:val="-3"/>
                <w:sz w:val="20"/>
                <w:szCs w:val="20"/>
              </w:rPr>
            </w:pPr>
            <w:r w:rsidRPr="00CF4A70">
              <w:rPr>
                <w:rFonts w:ascii="Arial" w:hAnsi="Arial" w:cs="Arial"/>
                <w:color w:val="0000FF"/>
                <w:spacing w:val="-3"/>
                <w:sz w:val="20"/>
                <w:szCs w:val="20"/>
              </w:rPr>
              <w:t>The following are shared values</w:t>
            </w:r>
            <w:r w:rsidR="009878F8">
              <w:rPr>
                <w:rFonts w:ascii="Arial" w:hAnsi="Arial" w:cs="Arial"/>
                <w:color w:val="0000FF"/>
                <w:spacing w:val="-3"/>
                <w:sz w:val="20"/>
                <w:szCs w:val="20"/>
              </w:rPr>
              <w:t xml:space="preserve"> at Avondale Primary School</w:t>
            </w:r>
            <w:r w:rsidRPr="00CF4A70">
              <w:rPr>
                <w:rFonts w:ascii="Arial" w:hAnsi="Arial" w:cs="Arial"/>
                <w:color w:val="0000FF"/>
                <w:spacing w:val="-3"/>
                <w:sz w:val="20"/>
                <w:szCs w:val="20"/>
              </w:rPr>
              <w:t>:</w:t>
            </w:r>
          </w:p>
          <w:p w14:paraId="2EB28422" w14:textId="582BBBFF" w:rsidR="00260719" w:rsidRPr="00CF4A70" w:rsidRDefault="00260719" w:rsidP="00260719">
            <w:pPr>
              <w:numPr>
                <w:ilvl w:val="0"/>
                <w:numId w:val="4"/>
              </w:numPr>
              <w:suppressAutoHyphens/>
              <w:rPr>
                <w:rFonts w:ascii="Arial" w:hAnsi="Arial" w:cs="Arial"/>
                <w:color w:val="0000FF"/>
                <w:spacing w:val="-3"/>
                <w:sz w:val="20"/>
                <w:szCs w:val="20"/>
              </w:rPr>
            </w:pPr>
            <w:r w:rsidRPr="00CF4A70">
              <w:rPr>
                <w:rFonts w:ascii="Arial" w:hAnsi="Arial" w:cs="Arial"/>
                <w:color w:val="0000FF"/>
                <w:spacing w:val="-3"/>
                <w:sz w:val="20"/>
                <w:szCs w:val="20"/>
              </w:rPr>
              <w:t>Respect</w:t>
            </w:r>
            <w:r w:rsidR="00EB6A68">
              <w:rPr>
                <w:rFonts w:ascii="Arial" w:hAnsi="Arial" w:cs="Arial"/>
                <w:color w:val="0000FF"/>
                <w:spacing w:val="-3"/>
                <w:sz w:val="20"/>
                <w:szCs w:val="20"/>
              </w:rPr>
              <w:t xml:space="preserve"> </w:t>
            </w:r>
          </w:p>
          <w:p w14:paraId="4C71BE80" w14:textId="77777777" w:rsidR="00260719" w:rsidRPr="00CF4A70" w:rsidRDefault="00260719" w:rsidP="00260719">
            <w:pPr>
              <w:numPr>
                <w:ilvl w:val="0"/>
                <w:numId w:val="4"/>
              </w:numPr>
              <w:suppressAutoHyphens/>
              <w:rPr>
                <w:rFonts w:ascii="Arial" w:hAnsi="Arial" w:cs="Arial"/>
                <w:color w:val="0000FF"/>
                <w:spacing w:val="-3"/>
                <w:sz w:val="20"/>
                <w:szCs w:val="20"/>
              </w:rPr>
            </w:pPr>
            <w:r w:rsidRPr="00CF4A70">
              <w:rPr>
                <w:rFonts w:ascii="Arial" w:hAnsi="Arial" w:cs="Arial"/>
                <w:color w:val="0000FF"/>
                <w:spacing w:val="-3"/>
                <w:sz w:val="20"/>
                <w:szCs w:val="20"/>
              </w:rPr>
              <w:t>Self-confidence</w:t>
            </w:r>
          </w:p>
          <w:p w14:paraId="7960FBAD" w14:textId="4CFED83D" w:rsidR="00260719" w:rsidRPr="00EB6A68" w:rsidRDefault="00260719" w:rsidP="00EB6A68">
            <w:pPr>
              <w:numPr>
                <w:ilvl w:val="0"/>
                <w:numId w:val="4"/>
              </w:numPr>
              <w:suppressAutoHyphens/>
              <w:rPr>
                <w:rFonts w:ascii="Arial" w:hAnsi="Arial" w:cs="Arial"/>
                <w:color w:val="0000FF"/>
                <w:spacing w:val="-3"/>
                <w:sz w:val="20"/>
                <w:szCs w:val="20"/>
              </w:rPr>
            </w:pPr>
            <w:r w:rsidRPr="00CF4A70">
              <w:rPr>
                <w:rFonts w:ascii="Arial" w:hAnsi="Arial" w:cs="Arial"/>
                <w:color w:val="0000FF"/>
                <w:spacing w:val="-3"/>
                <w:sz w:val="20"/>
                <w:szCs w:val="20"/>
              </w:rPr>
              <w:t>Persistence</w:t>
            </w:r>
          </w:p>
          <w:p w14:paraId="18A41DED" w14:textId="77777777" w:rsidR="00260719" w:rsidRPr="00CF4A70" w:rsidRDefault="00260719" w:rsidP="00260719">
            <w:pPr>
              <w:numPr>
                <w:ilvl w:val="0"/>
                <w:numId w:val="4"/>
              </w:numPr>
              <w:suppressAutoHyphens/>
              <w:rPr>
                <w:rFonts w:ascii="Arial" w:hAnsi="Arial" w:cs="Arial"/>
                <w:color w:val="0000FF"/>
                <w:spacing w:val="-3"/>
                <w:sz w:val="20"/>
                <w:szCs w:val="20"/>
              </w:rPr>
            </w:pPr>
            <w:r w:rsidRPr="00CF4A70">
              <w:rPr>
                <w:rFonts w:ascii="Arial" w:hAnsi="Arial" w:cs="Arial"/>
                <w:color w:val="0000FF"/>
                <w:spacing w:val="-3"/>
                <w:sz w:val="20"/>
                <w:szCs w:val="20"/>
              </w:rPr>
              <w:t>Integrity</w:t>
            </w:r>
          </w:p>
          <w:p w14:paraId="154A1D91" w14:textId="51E787D2" w:rsidR="00B85BE6" w:rsidRPr="00260719" w:rsidRDefault="00EB6A68" w:rsidP="00B85BE6">
            <w:pPr>
              <w:numPr>
                <w:ilvl w:val="0"/>
                <w:numId w:val="4"/>
              </w:numPr>
              <w:suppressAutoHyphens/>
              <w:rPr>
                <w:rFonts w:ascii="Arial" w:hAnsi="Arial" w:cs="Arial"/>
                <w:spacing w:val="-3"/>
                <w:sz w:val="20"/>
                <w:szCs w:val="20"/>
              </w:rPr>
            </w:pPr>
            <w:r>
              <w:rPr>
                <w:rFonts w:ascii="Arial" w:hAnsi="Arial" w:cs="Arial"/>
                <w:color w:val="0000FF"/>
                <w:spacing w:val="-3"/>
                <w:sz w:val="20"/>
                <w:szCs w:val="20"/>
              </w:rPr>
              <w:t>Getting along</w:t>
            </w:r>
          </w:p>
        </w:tc>
        <w:tc>
          <w:tcPr>
            <w:tcW w:w="6946" w:type="dxa"/>
            <w:vMerge w:val="restart"/>
          </w:tcPr>
          <w:p w14:paraId="0F68F65A" w14:textId="111FC608" w:rsidR="005B0742" w:rsidRPr="00CF4A70" w:rsidRDefault="005B0742" w:rsidP="00A94321">
            <w:pPr>
              <w:suppressAutoHyphens/>
              <w:jc w:val="both"/>
              <w:rPr>
                <w:rFonts w:ascii="Arial" w:hAnsi="Arial" w:cs="Arial"/>
                <w:color w:val="0000FF"/>
                <w:spacing w:val="-3"/>
                <w:sz w:val="20"/>
                <w:szCs w:val="20"/>
              </w:rPr>
            </w:pPr>
            <w:r w:rsidRPr="00CF4A70">
              <w:rPr>
                <w:rFonts w:ascii="Arial" w:hAnsi="Arial" w:cs="Arial"/>
                <w:color w:val="0000FF"/>
                <w:spacing w:val="-3"/>
                <w:sz w:val="20"/>
                <w:szCs w:val="20"/>
              </w:rPr>
              <w:t xml:space="preserve">Avondale Primary School </w:t>
            </w:r>
            <w:r w:rsidR="002B6AA6" w:rsidRPr="00CF4A70">
              <w:rPr>
                <w:rFonts w:ascii="Arial" w:hAnsi="Arial" w:cs="Arial"/>
                <w:color w:val="0000FF"/>
                <w:spacing w:val="-3"/>
                <w:sz w:val="20"/>
                <w:szCs w:val="20"/>
              </w:rPr>
              <w:t>has</w:t>
            </w:r>
            <w:r w:rsidRPr="00CF4A70">
              <w:rPr>
                <w:rFonts w:ascii="Arial" w:hAnsi="Arial" w:cs="Arial"/>
                <w:color w:val="0000FF"/>
                <w:spacing w:val="-3"/>
                <w:sz w:val="20"/>
                <w:szCs w:val="20"/>
              </w:rPr>
              <w:t xml:space="preserve"> two</w:t>
            </w:r>
            <w:r w:rsidR="002B6AA6" w:rsidRPr="00CF4A70">
              <w:rPr>
                <w:rFonts w:ascii="Arial" w:hAnsi="Arial" w:cs="Arial"/>
                <w:color w:val="0000FF"/>
                <w:spacing w:val="-3"/>
                <w:sz w:val="20"/>
                <w:szCs w:val="20"/>
              </w:rPr>
              <w:t>,</w:t>
            </w:r>
            <w:r w:rsidRPr="00CF4A70">
              <w:rPr>
                <w:rFonts w:ascii="Arial" w:hAnsi="Arial" w:cs="Arial"/>
                <w:color w:val="0000FF"/>
                <w:spacing w:val="-3"/>
                <w:sz w:val="20"/>
                <w:szCs w:val="20"/>
              </w:rPr>
              <w:t xml:space="preserve"> parallel</w:t>
            </w:r>
            <w:r w:rsidR="002B6AA6" w:rsidRPr="00CF4A70">
              <w:rPr>
                <w:rFonts w:ascii="Arial" w:hAnsi="Arial" w:cs="Arial"/>
                <w:color w:val="0000FF"/>
                <w:spacing w:val="-3"/>
                <w:sz w:val="20"/>
                <w:szCs w:val="20"/>
              </w:rPr>
              <w:t>,</w:t>
            </w:r>
            <w:r w:rsidRPr="00CF4A70">
              <w:rPr>
                <w:rFonts w:ascii="Arial" w:hAnsi="Arial" w:cs="Arial"/>
                <w:color w:val="0000FF"/>
                <w:spacing w:val="-3"/>
                <w:sz w:val="20"/>
                <w:szCs w:val="20"/>
              </w:rPr>
              <w:t xml:space="preserve"> light timber construction buildings</w:t>
            </w:r>
            <w:r w:rsidR="002B6AA6" w:rsidRPr="00CF4A70">
              <w:rPr>
                <w:rFonts w:ascii="Arial" w:hAnsi="Arial" w:cs="Arial"/>
                <w:color w:val="0000FF"/>
                <w:spacing w:val="-3"/>
                <w:sz w:val="20"/>
                <w:szCs w:val="20"/>
              </w:rPr>
              <w:t xml:space="preserve"> with</w:t>
            </w:r>
            <w:r w:rsidRPr="00CF4A70">
              <w:rPr>
                <w:rFonts w:ascii="Arial" w:hAnsi="Arial" w:cs="Arial"/>
                <w:color w:val="0000FF"/>
                <w:spacing w:val="-3"/>
                <w:sz w:val="20"/>
                <w:szCs w:val="20"/>
              </w:rPr>
              <w:t xml:space="preserve"> 16 classrooms,</w:t>
            </w:r>
            <w:r w:rsidR="002B6AA6" w:rsidRPr="00CF4A70">
              <w:rPr>
                <w:rFonts w:ascii="Arial" w:hAnsi="Arial" w:cs="Arial"/>
                <w:color w:val="0000FF"/>
                <w:spacing w:val="-3"/>
                <w:sz w:val="20"/>
                <w:szCs w:val="20"/>
              </w:rPr>
              <w:t xml:space="preserve"> a standalone music room, a</w:t>
            </w:r>
            <w:r w:rsidRPr="00CF4A70">
              <w:rPr>
                <w:rFonts w:ascii="Arial" w:hAnsi="Arial" w:cs="Arial"/>
                <w:color w:val="0000FF"/>
                <w:spacing w:val="-3"/>
                <w:sz w:val="20"/>
                <w:szCs w:val="20"/>
              </w:rPr>
              <w:t xml:space="preserve"> </w:t>
            </w:r>
            <w:r w:rsidR="002B6AA6" w:rsidRPr="00CF4A70">
              <w:rPr>
                <w:rFonts w:ascii="Arial" w:hAnsi="Arial" w:cs="Arial"/>
                <w:color w:val="0000FF"/>
                <w:spacing w:val="-3"/>
                <w:sz w:val="20"/>
                <w:szCs w:val="20"/>
              </w:rPr>
              <w:t>physical education store</w:t>
            </w:r>
            <w:r w:rsidRPr="00CF4A70">
              <w:rPr>
                <w:rFonts w:ascii="Arial" w:hAnsi="Arial" w:cs="Arial"/>
                <w:color w:val="0000FF"/>
                <w:spacing w:val="-3"/>
                <w:sz w:val="20"/>
                <w:szCs w:val="20"/>
              </w:rPr>
              <w:t xml:space="preserve"> and a co</w:t>
            </w:r>
            <w:r w:rsidR="002B6AA6" w:rsidRPr="00CF4A70">
              <w:rPr>
                <w:rFonts w:ascii="Arial" w:hAnsi="Arial" w:cs="Arial"/>
                <w:color w:val="0000FF"/>
                <w:spacing w:val="-3"/>
                <w:sz w:val="20"/>
                <w:szCs w:val="20"/>
              </w:rPr>
              <w:t>nstruction</w:t>
            </w:r>
            <w:r w:rsidRPr="00CF4A70">
              <w:rPr>
                <w:rFonts w:ascii="Arial" w:hAnsi="Arial" w:cs="Arial"/>
                <w:color w:val="0000FF"/>
                <w:spacing w:val="-3"/>
                <w:sz w:val="20"/>
                <w:szCs w:val="20"/>
              </w:rPr>
              <w:t xml:space="preserve"> housing an art room, multipurpose</w:t>
            </w:r>
            <w:r w:rsidR="002B6AA6" w:rsidRPr="00CF4A70">
              <w:rPr>
                <w:rFonts w:ascii="Arial" w:hAnsi="Arial" w:cs="Arial"/>
                <w:color w:val="0000FF"/>
                <w:spacing w:val="-3"/>
                <w:sz w:val="20"/>
                <w:szCs w:val="20"/>
              </w:rPr>
              <w:t xml:space="preserve"> room</w:t>
            </w:r>
            <w:r w:rsidRPr="00CF4A70">
              <w:rPr>
                <w:rFonts w:ascii="Arial" w:hAnsi="Arial" w:cs="Arial"/>
                <w:color w:val="0000FF"/>
                <w:spacing w:val="-3"/>
                <w:sz w:val="20"/>
                <w:szCs w:val="20"/>
              </w:rPr>
              <w:t xml:space="preserve"> and canteen. </w:t>
            </w:r>
            <w:r w:rsidR="00A94321" w:rsidRPr="00CF4A70">
              <w:rPr>
                <w:rFonts w:ascii="Arial" w:hAnsi="Arial" w:cs="Arial"/>
                <w:color w:val="0000FF"/>
                <w:spacing w:val="-3"/>
                <w:sz w:val="20"/>
                <w:szCs w:val="20"/>
              </w:rPr>
              <w:t xml:space="preserve"> The layout of the building restricts curriculum implementation options.</w:t>
            </w:r>
          </w:p>
          <w:p w14:paraId="48BF8B8C" w14:textId="77777777" w:rsidR="005B0742" w:rsidRPr="00CF4A70" w:rsidRDefault="005B0742" w:rsidP="00A94321">
            <w:pPr>
              <w:suppressAutoHyphens/>
              <w:jc w:val="both"/>
              <w:rPr>
                <w:rFonts w:ascii="Arial" w:hAnsi="Arial" w:cs="Arial"/>
                <w:color w:val="0000FF"/>
                <w:spacing w:val="-3"/>
                <w:sz w:val="20"/>
                <w:szCs w:val="20"/>
              </w:rPr>
            </w:pPr>
          </w:p>
          <w:p w14:paraId="7759642E" w14:textId="1361BF72" w:rsidR="005B0742" w:rsidRPr="00CF4A70" w:rsidRDefault="005B0742" w:rsidP="00A94321">
            <w:pPr>
              <w:suppressAutoHyphens/>
              <w:jc w:val="both"/>
              <w:rPr>
                <w:rFonts w:ascii="Arial" w:hAnsi="Arial" w:cs="Arial"/>
                <w:color w:val="0000FF"/>
                <w:spacing w:val="-3"/>
                <w:sz w:val="20"/>
                <w:szCs w:val="20"/>
              </w:rPr>
            </w:pPr>
            <w:r w:rsidRPr="00CF4A70">
              <w:rPr>
                <w:rFonts w:ascii="Arial" w:hAnsi="Arial" w:cs="Arial"/>
                <w:color w:val="0000FF"/>
                <w:spacing w:val="-3"/>
                <w:sz w:val="20"/>
                <w:szCs w:val="20"/>
              </w:rPr>
              <w:t xml:space="preserve">Enrolments </w:t>
            </w:r>
            <w:r w:rsidR="002B6AA6" w:rsidRPr="00CF4A70">
              <w:rPr>
                <w:rFonts w:ascii="Arial" w:hAnsi="Arial" w:cs="Arial"/>
                <w:color w:val="0000FF"/>
                <w:spacing w:val="-3"/>
                <w:sz w:val="20"/>
                <w:szCs w:val="20"/>
              </w:rPr>
              <w:t>are increasing from</w:t>
            </w:r>
            <w:r w:rsidRPr="00CF4A70">
              <w:rPr>
                <w:rFonts w:ascii="Arial" w:hAnsi="Arial" w:cs="Arial"/>
                <w:color w:val="0000FF"/>
                <w:spacing w:val="-3"/>
                <w:sz w:val="20"/>
                <w:szCs w:val="20"/>
              </w:rPr>
              <w:t xml:space="preserve"> 360 students</w:t>
            </w:r>
            <w:r w:rsidR="002B6AA6" w:rsidRPr="00CF4A70">
              <w:rPr>
                <w:rFonts w:ascii="Arial" w:hAnsi="Arial" w:cs="Arial"/>
                <w:color w:val="0000FF"/>
                <w:spacing w:val="-3"/>
                <w:sz w:val="20"/>
                <w:szCs w:val="20"/>
              </w:rPr>
              <w:t xml:space="preserve"> in 2017 to 380 in 2018; </w:t>
            </w:r>
            <w:r w:rsidRPr="00CF4A70">
              <w:rPr>
                <w:rFonts w:ascii="Arial" w:hAnsi="Arial" w:cs="Arial"/>
                <w:color w:val="0000FF"/>
                <w:spacing w:val="-3"/>
                <w:sz w:val="20"/>
                <w:szCs w:val="20"/>
              </w:rPr>
              <w:t>one third of the students live outside the school neighbourhood area</w:t>
            </w:r>
            <w:r w:rsidR="00EC4E52" w:rsidRPr="00CF4A70">
              <w:rPr>
                <w:rFonts w:ascii="Arial" w:hAnsi="Arial" w:cs="Arial"/>
                <w:color w:val="0000FF"/>
                <w:spacing w:val="-3"/>
                <w:sz w:val="20"/>
                <w:szCs w:val="20"/>
              </w:rPr>
              <w:t>. 29% of the students receive CSEF funding</w:t>
            </w:r>
            <w:r w:rsidRPr="00CF4A70">
              <w:rPr>
                <w:rFonts w:ascii="Arial" w:hAnsi="Arial" w:cs="Arial"/>
                <w:color w:val="0000FF"/>
                <w:spacing w:val="-3"/>
                <w:sz w:val="20"/>
                <w:szCs w:val="20"/>
              </w:rPr>
              <w:t xml:space="preserve">. </w:t>
            </w:r>
            <w:r w:rsidR="006E44AB" w:rsidRPr="00CF4A70">
              <w:rPr>
                <w:rFonts w:ascii="Arial" w:hAnsi="Arial" w:cs="Arial"/>
                <w:color w:val="0000FF"/>
                <w:spacing w:val="-3"/>
                <w:sz w:val="20"/>
                <w:szCs w:val="20"/>
              </w:rPr>
              <w:t>41.3% of the students have a language background other than English</w:t>
            </w:r>
            <w:r w:rsidRPr="00CF4A70">
              <w:rPr>
                <w:rFonts w:ascii="Arial" w:hAnsi="Arial" w:cs="Arial"/>
                <w:color w:val="0000FF"/>
                <w:spacing w:val="-3"/>
                <w:sz w:val="20"/>
                <w:szCs w:val="20"/>
              </w:rPr>
              <w:t xml:space="preserve">. </w:t>
            </w:r>
          </w:p>
          <w:p w14:paraId="3B652F40" w14:textId="77777777" w:rsidR="005B0742" w:rsidRPr="00CF4A70" w:rsidRDefault="005B0742" w:rsidP="00A94321">
            <w:pPr>
              <w:suppressAutoHyphens/>
              <w:jc w:val="both"/>
              <w:rPr>
                <w:rFonts w:ascii="Arial" w:hAnsi="Arial" w:cs="Arial"/>
                <w:color w:val="0000FF"/>
                <w:spacing w:val="-3"/>
                <w:sz w:val="20"/>
                <w:szCs w:val="20"/>
              </w:rPr>
            </w:pPr>
          </w:p>
          <w:p w14:paraId="2DD7A514" w14:textId="0563CB11" w:rsidR="00B85BE6" w:rsidRPr="008A7687" w:rsidRDefault="005B0742" w:rsidP="008A7687">
            <w:pPr>
              <w:suppressAutoHyphens/>
              <w:jc w:val="both"/>
              <w:rPr>
                <w:rFonts w:ascii="Arial" w:hAnsi="Arial" w:cs="Arial"/>
                <w:color w:val="0000FF"/>
                <w:spacing w:val="-3"/>
                <w:sz w:val="20"/>
                <w:szCs w:val="20"/>
              </w:rPr>
            </w:pPr>
            <w:r w:rsidRPr="00CF4A70">
              <w:rPr>
                <w:rFonts w:ascii="Arial" w:hAnsi="Arial" w:cs="Arial"/>
                <w:color w:val="0000FF"/>
                <w:spacing w:val="-3"/>
                <w:sz w:val="20"/>
                <w:szCs w:val="20"/>
              </w:rPr>
              <w:t xml:space="preserve">The student family occupation index of the school is currently 0.5250 and the student family occupation and education index is 0.4042.  There are 30 languages other than English spoken by families within the school community. </w:t>
            </w:r>
          </w:p>
        </w:tc>
        <w:tc>
          <w:tcPr>
            <w:tcW w:w="7229" w:type="dxa"/>
            <w:vMerge w:val="restart"/>
          </w:tcPr>
          <w:p w14:paraId="67F2AECB" w14:textId="77777777" w:rsidR="00B85BE6" w:rsidRPr="007833C9" w:rsidRDefault="006E44AB" w:rsidP="007833C9">
            <w:pPr>
              <w:suppressAutoHyphens/>
              <w:jc w:val="both"/>
              <w:rPr>
                <w:rFonts w:ascii="Arial" w:hAnsi="Arial" w:cs="Arial"/>
                <w:color w:val="0000FF"/>
                <w:spacing w:val="-3"/>
                <w:sz w:val="20"/>
                <w:szCs w:val="20"/>
                <w:u w:val="single"/>
              </w:rPr>
            </w:pPr>
            <w:r w:rsidRPr="007833C9">
              <w:rPr>
                <w:rFonts w:ascii="Arial" w:hAnsi="Arial" w:cs="Arial"/>
                <w:color w:val="0000FF"/>
                <w:spacing w:val="-3"/>
                <w:sz w:val="20"/>
                <w:szCs w:val="20"/>
                <w:u w:val="single"/>
              </w:rPr>
              <w:t>Intent</w:t>
            </w:r>
          </w:p>
          <w:p w14:paraId="041C2D00" w14:textId="3FD64E4C" w:rsidR="006E44AB" w:rsidRPr="007833C9" w:rsidRDefault="007833C9" w:rsidP="007833C9">
            <w:pPr>
              <w:suppressAutoHyphens/>
              <w:jc w:val="both"/>
              <w:rPr>
                <w:rFonts w:ascii="Arial" w:hAnsi="Arial" w:cs="Arial"/>
                <w:color w:val="0000FF"/>
                <w:spacing w:val="-3"/>
                <w:sz w:val="20"/>
                <w:szCs w:val="20"/>
              </w:rPr>
            </w:pPr>
            <w:r w:rsidRPr="007833C9">
              <w:rPr>
                <w:rFonts w:ascii="Arial" w:hAnsi="Arial" w:cs="Arial"/>
                <w:color w:val="0000FF"/>
                <w:spacing w:val="-3"/>
                <w:sz w:val="20"/>
                <w:szCs w:val="20"/>
              </w:rPr>
              <w:t xml:space="preserve">The school intends to raise the profile of Science, Technology, ICT and Mathematics (STEM) teaching and learning </w:t>
            </w:r>
          </w:p>
          <w:p w14:paraId="2C23E4BE" w14:textId="77777777" w:rsidR="006E44AB" w:rsidRPr="007833C9" w:rsidRDefault="006E44AB" w:rsidP="007833C9">
            <w:pPr>
              <w:suppressAutoHyphens/>
              <w:jc w:val="both"/>
              <w:rPr>
                <w:rFonts w:ascii="Arial" w:hAnsi="Arial" w:cs="Arial"/>
                <w:color w:val="0000FF"/>
                <w:spacing w:val="-3"/>
                <w:sz w:val="20"/>
                <w:szCs w:val="20"/>
                <w:u w:val="single"/>
              </w:rPr>
            </w:pPr>
            <w:r w:rsidRPr="007833C9">
              <w:rPr>
                <w:rFonts w:ascii="Arial" w:hAnsi="Arial" w:cs="Arial"/>
                <w:color w:val="0000FF"/>
                <w:spacing w:val="-3"/>
                <w:sz w:val="20"/>
                <w:szCs w:val="20"/>
                <w:u w:val="single"/>
              </w:rPr>
              <w:t>Rationale</w:t>
            </w:r>
          </w:p>
          <w:p w14:paraId="5ABCED8C" w14:textId="05B927B2" w:rsidR="006E44AB" w:rsidRPr="007833C9" w:rsidRDefault="007833C9" w:rsidP="007833C9">
            <w:pPr>
              <w:pStyle w:val="Table-Entry"/>
              <w:suppressAutoHyphens/>
              <w:jc w:val="both"/>
              <w:rPr>
                <w:rFonts w:eastAsiaTheme="minorHAnsi"/>
                <w:color w:val="0000FF"/>
                <w:spacing w:val="-3"/>
                <w:sz w:val="20"/>
                <w:szCs w:val="20"/>
                <w:lang w:val="en-AU"/>
              </w:rPr>
            </w:pPr>
            <w:r w:rsidRPr="007833C9">
              <w:rPr>
                <w:rFonts w:eastAsiaTheme="minorHAnsi"/>
                <w:color w:val="0000FF"/>
                <w:spacing w:val="-3"/>
                <w:sz w:val="20"/>
                <w:szCs w:val="20"/>
                <w:lang w:val="en-AU"/>
              </w:rPr>
              <w:t>If students are engaged in solving authentic problems or analysing social issues using mathematical capabilities and modelling, then they see connections and apply concepts, skill</w:t>
            </w:r>
            <w:r w:rsidR="008A7687">
              <w:rPr>
                <w:rFonts w:eastAsiaTheme="minorHAnsi"/>
                <w:color w:val="0000FF"/>
                <w:spacing w:val="-3"/>
                <w:sz w:val="20"/>
                <w:szCs w:val="20"/>
                <w:lang w:val="en-AU"/>
              </w:rPr>
              <w:t>s</w:t>
            </w:r>
            <w:r w:rsidRPr="007833C9">
              <w:rPr>
                <w:rFonts w:eastAsiaTheme="minorHAnsi"/>
                <w:color w:val="0000FF"/>
                <w:spacing w:val="-3"/>
                <w:sz w:val="20"/>
                <w:szCs w:val="20"/>
                <w:lang w:val="en-AU"/>
              </w:rPr>
              <w:t xml:space="preserve"> and processes to pose and solve problems in mathematics and in other disciplines and contexts.</w:t>
            </w:r>
          </w:p>
          <w:p w14:paraId="42EE6241" w14:textId="77777777" w:rsidR="006E44AB" w:rsidRDefault="006E44AB" w:rsidP="007833C9">
            <w:pPr>
              <w:suppressAutoHyphens/>
              <w:jc w:val="both"/>
              <w:rPr>
                <w:rFonts w:ascii="Arial" w:hAnsi="Arial" w:cs="Arial"/>
                <w:color w:val="0000FF"/>
                <w:spacing w:val="-3"/>
                <w:sz w:val="20"/>
                <w:szCs w:val="20"/>
                <w:u w:val="single"/>
              </w:rPr>
            </w:pPr>
            <w:r w:rsidRPr="007833C9">
              <w:rPr>
                <w:rFonts w:ascii="Arial" w:hAnsi="Arial" w:cs="Arial"/>
                <w:color w:val="0000FF"/>
                <w:spacing w:val="-3"/>
                <w:sz w:val="20"/>
                <w:szCs w:val="20"/>
                <w:u w:val="single"/>
              </w:rPr>
              <w:t>Focus</w:t>
            </w:r>
          </w:p>
          <w:p w14:paraId="749BBB7F" w14:textId="236BBDFC" w:rsidR="007833C9" w:rsidRPr="007833C9" w:rsidRDefault="00991F58" w:rsidP="00991F58">
            <w:pPr>
              <w:suppressAutoHyphens/>
              <w:jc w:val="both"/>
              <w:rPr>
                <w:rFonts w:ascii="Arial" w:hAnsi="Arial" w:cs="Arial"/>
                <w:color w:val="0000FF"/>
                <w:spacing w:val="-3"/>
                <w:sz w:val="20"/>
                <w:szCs w:val="20"/>
              </w:rPr>
            </w:pPr>
            <w:r w:rsidRPr="00991F58">
              <w:rPr>
                <w:rFonts w:ascii="Arial" w:hAnsi="Arial" w:cs="Arial"/>
                <w:color w:val="0000FF"/>
                <w:spacing w:val="-3"/>
                <w:sz w:val="20"/>
                <w:szCs w:val="20"/>
              </w:rPr>
              <w:t>The school will focus upon improving practice that requires teachers to adopt innovative pedagogies and students to be empowered to play an active role in their learning. We will focus upon innovative thinking and consider alternative spaces and places where learning can occur.</w:t>
            </w:r>
          </w:p>
        </w:tc>
      </w:tr>
      <w:tr w:rsidR="00B85BE6" w14:paraId="1C2E7DB7" w14:textId="77777777" w:rsidTr="006E44AB">
        <w:trPr>
          <w:trHeight w:val="220"/>
        </w:trPr>
        <w:tc>
          <w:tcPr>
            <w:tcW w:w="5274" w:type="dxa"/>
            <w:vMerge/>
            <w:shd w:val="clear" w:color="auto" w:fill="C2D69B" w:themeFill="accent3" w:themeFillTint="99"/>
          </w:tcPr>
          <w:p w14:paraId="2E752559" w14:textId="03AA14AB" w:rsidR="00B85BE6" w:rsidRDefault="00B85BE6" w:rsidP="00B85BE6">
            <w:pPr>
              <w:rPr>
                <w:b/>
                <w:sz w:val="18"/>
                <w:szCs w:val="18"/>
              </w:rPr>
            </w:pPr>
          </w:p>
        </w:tc>
        <w:tc>
          <w:tcPr>
            <w:tcW w:w="3090" w:type="dxa"/>
            <w:vMerge/>
            <w:shd w:val="clear" w:color="auto" w:fill="C2D69B" w:themeFill="accent3" w:themeFillTint="99"/>
          </w:tcPr>
          <w:p w14:paraId="6B13C1C2" w14:textId="2D302163" w:rsidR="00B85BE6" w:rsidRDefault="00B85BE6" w:rsidP="00B85BE6">
            <w:pPr>
              <w:rPr>
                <w:b/>
                <w:sz w:val="18"/>
                <w:szCs w:val="18"/>
              </w:rPr>
            </w:pPr>
          </w:p>
        </w:tc>
        <w:tc>
          <w:tcPr>
            <w:tcW w:w="6946" w:type="dxa"/>
            <w:vMerge/>
            <w:shd w:val="clear" w:color="auto" w:fill="C2D69B" w:themeFill="accent3" w:themeFillTint="99"/>
          </w:tcPr>
          <w:p w14:paraId="14E9743B" w14:textId="3EE5F929" w:rsidR="00B85BE6" w:rsidRDefault="00B85BE6" w:rsidP="00B85BE6">
            <w:pPr>
              <w:rPr>
                <w:b/>
                <w:sz w:val="18"/>
                <w:szCs w:val="18"/>
              </w:rPr>
            </w:pPr>
          </w:p>
        </w:tc>
        <w:tc>
          <w:tcPr>
            <w:tcW w:w="7229" w:type="dxa"/>
            <w:vMerge/>
            <w:shd w:val="clear" w:color="auto" w:fill="C2D69B" w:themeFill="accent3" w:themeFillTint="99"/>
          </w:tcPr>
          <w:p w14:paraId="25AF8890" w14:textId="286DBC9C" w:rsidR="00B85BE6" w:rsidRDefault="00B85BE6" w:rsidP="00B85BE6">
            <w:pPr>
              <w:rPr>
                <w:b/>
                <w:sz w:val="18"/>
                <w:szCs w:val="18"/>
              </w:rPr>
            </w:pPr>
          </w:p>
        </w:tc>
      </w:tr>
      <w:tr w:rsidR="00B85BE6" w14:paraId="599C0C12" w14:textId="77777777" w:rsidTr="006E44AB">
        <w:trPr>
          <w:trHeight w:val="220"/>
        </w:trPr>
        <w:tc>
          <w:tcPr>
            <w:tcW w:w="5274" w:type="dxa"/>
            <w:vMerge/>
          </w:tcPr>
          <w:p w14:paraId="3E998D3A" w14:textId="77777777" w:rsidR="00B85BE6" w:rsidRDefault="00B85BE6" w:rsidP="00B85BE6">
            <w:pPr>
              <w:rPr>
                <w:sz w:val="18"/>
                <w:szCs w:val="18"/>
                <w:highlight w:val="lightGray"/>
              </w:rPr>
            </w:pPr>
          </w:p>
        </w:tc>
        <w:tc>
          <w:tcPr>
            <w:tcW w:w="3090" w:type="dxa"/>
            <w:vMerge/>
          </w:tcPr>
          <w:p w14:paraId="67415038" w14:textId="3A85C9AE" w:rsidR="00B85BE6" w:rsidRDefault="00B85BE6" w:rsidP="00B85BE6">
            <w:pPr>
              <w:rPr>
                <w:i/>
                <w:sz w:val="16"/>
                <w:szCs w:val="16"/>
              </w:rPr>
            </w:pPr>
          </w:p>
        </w:tc>
        <w:tc>
          <w:tcPr>
            <w:tcW w:w="6946" w:type="dxa"/>
            <w:vMerge/>
          </w:tcPr>
          <w:p w14:paraId="30AC8E9D" w14:textId="0A2B98E0" w:rsidR="00B85BE6" w:rsidRDefault="00B85BE6" w:rsidP="00B85BE6">
            <w:pPr>
              <w:rPr>
                <w:i/>
                <w:sz w:val="16"/>
                <w:szCs w:val="16"/>
              </w:rPr>
            </w:pPr>
          </w:p>
        </w:tc>
        <w:tc>
          <w:tcPr>
            <w:tcW w:w="7229" w:type="dxa"/>
            <w:vMerge/>
          </w:tcPr>
          <w:p w14:paraId="2221E176" w14:textId="0D0FC2B0" w:rsidR="00B85BE6" w:rsidRDefault="00B85BE6" w:rsidP="00B85BE6">
            <w:pPr>
              <w:rPr>
                <w:i/>
                <w:sz w:val="16"/>
                <w:szCs w:val="16"/>
              </w:rPr>
            </w:pPr>
          </w:p>
        </w:tc>
      </w:tr>
    </w:tbl>
    <w:p w14:paraId="5287F4E4" w14:textId="53265501" w:rsidR="00E23FC3" w:rsidRDefault="00E23FC3" w:rsidP="00E23FC3">
      <w:pPr>
        <w:tabs>
          <w:tab w:val="left" w:pos="3000"/>
        </w:tabs>
      </w:pPr>
    </w:p>
    <w:tbl>
      <w:tblPr>
        <w:tblStyle w:val="TableGrid"/>
        <w:tblW w:w="22587" w:type="dxa"/>
        <w:tblInd w:w="-743" w:type="dxa"/>
        <w:tblLook w:val="04A0" w:firstRow="1" w:lastRow="0" w:firstColumn="1" w:lastColumn="0" w:noHBand="0" w:noVBand="1"/>
      </w:tblPr>
      <w:tblGrid>
        <w:gridCol w:w="6663"/>
        <w:gridCol w:w="2694"/>
        <w:gridCol w:w="6615"/>
        <w:gridCol w:w="6615"/>
      </w:tblGrid>
      <w:tr w:rsidR="006569E2" w14:paraId="4085FA85" w14:textId="51F8299A" w:rsidTr="006569E2">
        <w:trPr>
          <w:trHeight w:val="570"/>
        </w:trPr>
        <w:tc>
          <w:tcPr>
            <w:tcW w:w="6663" w:type="dxa"/>
            <w:shd w:val="clear" w:color="auto" w:fill="C2D69B" w:themeFill="accent3" w:themeFillTint="99"/>
          </w:tcPr>
          <w:p w14:paraId="0C8743AF" w14:textId="746E84A4" w:rsidR="006569E2" w:rsidRDefault="006569E2" w:rsidP="006569E2">
            <w:pPr>
              <w:spacing w:before="120" w:after="120"/>
              <w:rPr>
                <w:b/>
                <w:sz w:val="18"/>
                <w:szCs w:val="18"/>
              </w:rPr>
            </w:pPr>
            <w:r>
              <w:rPr>
                <w:b/>
                <w:sz w:val="18"/>
                <w:szCs w:val="18"/>
              </w:rPr>
              <w:t xml:space="preserve">Four-year goals </w:t>
            </w:r>
            <w:r w:rsidR="00EB7105">
              <w:rPr>
                <w:b/>
                <w:sz w:val="18"/>
                <w:szCs w:val="18"/>
              </w:rPr>
              <w:br/>
            </w:r>
            <w:r w:rsidR="00EB7105" w:rsidRPr="00EB7105">
              <w:rPr>
                <w:b/>
                <w:sz w:val="16"/>
                <w:szCs w:val="16"/>
              </w:rPr>
              <w:t>(</w:t>
            </w:r>
            <w:r w:rsidR="007274A1" w:rsidRPr="00EB7105">
              <w:rPr>
                <w:b/>
                <w:sz w:val="16"/>
                <w:szCs w:val="16"/>
              </w:rPr>
              <w:t>for improving student achievement</w:t>
            </w:r>
            <w:r w:rsidR="00EB7105" w:rsidRPr="00EB7105">
              <w:rPr>
                <w:b/>
                <w:sz w:val="16"/>
                <w:szCs w:val="16"/>
              </w:rPr>
              <w:t>, engagement and wellbeing)</w:t>
            </w:r>
          </w:p>
        </w:tc>
        <w:tc>
          <w:tcPr>
            <w:tcW w:w="2694" w:type="dxa"/>
            <w:shd w:val="clear" w:color="auto" w:fill="C2D69B" w:themeFill="accent3" w:themeFillTint="99"/>
          </w:tcPr>
          <w:p w14:paraId="44CAAD50" w14:textId="485D5986" w:rsidR="006569E2" w:rsidRDefault="00055235" w:rsidP="00055235">
            <w:pPr>
              <w:spacing w:before="120"/>
              <w:rPr>
                <w:b/>
                <w:sz w:val="18"/>
                <w:szCs w:val="18"/>
              </w:rPr>
            </w:pPr>
            <w:r>
              <w:rPr>
                <w:b/>
                <w:sz w:val="18"/>
                <w:szCs w:val="18"/>
              </w:rPr>
              <w:t>I</w:t>
            </w:r>
            <w:r w:rsidR="006569E2">
              <w:rPr>
                <w:b/>
                <w:sz w:val="18"/>
                <w:szCs w:val="18"/>
              </w:rPr>
              <w:t xml:space="preserve">mprovement </w:t>
            </w:r>
            <w:r>
              <w:rPr>
                <w:b/>
                <w:sz w:val="18"/>
                <w:szCs w:val="18"/>
              </w:rPr>
              <w:t>P</w:t>
            </w:r>
            <w:r w:rsidR="006569E2">
              <w:rPr>
                <w:b/>
                <w:sz w:val="18"/>
                <w:szCs w:val="18"/>
              </w:rPr>
              <w:t xml:space="preserve">riorities, </w:t>
            </w:r>
            <w:r>
              <w:rPr>
                <w:b/>
                <w:sz w:val="18"/>
                <w:szCs w:val="18"/>
              </w:rPr>
              <w:t>I</w:t>
            </w:r>
            <w:r w:rsidR="006569E2">
              <w:rPr>
                <w:b/>
                <w:sz w:val="18"/>
                <w:szCs w:val="18"/>
              </w:rPr>
              <w:t xml:space="preserve">nitiatives and/or </w:t>
            </w:r>
            <w:r>
              <w:rPr>
                <w:b/>
                <w:sz w:val="18"/>
                <w:szCs w:val="18"/>
              </w:rPr>
              <w:t>D</w:t>
            </w:r>
            <w:r w:rsidR="006569E2">
              <w:rPr>
                <w:b/>
                <w:sz w:val="18"/>
                <w:szCs w:val="18"/>
              </w:rPr>
              <w:t>imensions</w:t>
            </w:r>
          </w:p>
        </w:tc>
        <w:tc>
          <w:tcPr>
            <w:tcW w:w="6615" w:type="dxa"/>
            <w:shd w:val="clear" w:color="auto" w:fill="C2D69B" w:themeFill="accent3" w:themeFillTint="99"/>
          </w:tcPr>
          <w:p w14:paraId="78D5E382" w14:textId="7805D260" w:rsidR="006569E2" w:rsidRDefault="006569E2" w:rsidP="006569E2">
            <w:pPr>
              <w:spacing w:before="120"/>
              <w:rPr>
                <w:b/>
                <w:sz w:val="18"/>
                <w:szCs w:val="18"/>
              </w:rPr>
            </w:pPr>
            <w:r w:rsidRPr="00CC615B">
              <w:rPr>
                <w:b/>
                <w:sz w:val="18"/>
                <w:szCs w:val="18"/>
              </w:rPr>
              <w:t>Key improvement strategies</w:t>
            </w:r>
            <w:r>
              <w:rPr>
                <w:b/>
                <w:sz w:val="18"/>
                <w:szCs w:val="18"/>
              </w:rPr>
              <w:t xml:space="preserve"> </w:t>
            </w:r>
          </w:p>
        </w:tc>
        <w:tc>
          <w:tcPr>
            <w:tcW w:w="6615" w:type="dxa"/>
            <w:shd w:val="clear" w:color="auto" w:fill="C2D69B" w:themeFill="accent3" w:themeFillTint="99"/>
          </w:tcPr>
          <w:p w14:paraId="3860DDA6" w14:textId="08FA8C78" w:rsidR="00EB7105" w:rsidRPr="00CC615B" w:rsidRDefault="006569E2" w:rsidP="006569E2">
            <w:pPr>
              <w:spacing w:before="120"/>
              <w:rPr>
                <w:b/>
                <w:sz w:val="18"/>
                <w:szCs w:val="18"/>
              </w:rPr>
            </w:pPr>
            <w:r>
              <w:rPr>
                <w:b/>
                <w:sz w:val="18"/>
                <w:szCs w:val="18"/>
              </w:rPr>
              <w:t xml:space="preserve">Targets </w:t>
            </w:r>
            <w:r w:rsidR="00EB7105">
              <w:rPr>
                <w:b/>
                <w:sz w:val="18"/>
                <w:szCs w:val="18"/>
              </w:rPr>
              <w:br/>
            </w:r>
            <w:r w:rsidR="00EB7105" w:rsidRPr="00EB7105">
              <w:rPr>
                <w:b/>
                <w:sz w:val="16"/>
                <w:szCs w:val="16"/>
              </w:rPr>
              <w:t>(for improving student achievement, engagement and wellbeing)</w:t>
            </w:r>
          </w:p>
        </w:tc>
      </w:tr>
      <w:tr w:rsidR="00653F92" w14:paraId="572CE555" w14:textId="772407F0" w:rsidTr="009878F8">
        <w:trPr>
          <w:trHeight w:val="826"/>
        </w:trPr>
        <w:tc>
          <w:tcPr>
            <w:tcW w:w="6663" w:type="dxa"/>
            <w:vMerge w:val="restart"/>
            <w:shd w:val="clear" w:color="auto" w:fill="auto"/>
          </w:tcPr>
          <w:p w14:paraId="2F6D8DD4" w14:textId="0E18B94E" w:rsidR="00653F92" w:rsidRPr="00CF4A70" w:rsidRDefault="00653F92" w:rsidP="00653F92">
            <w:pPr>
              <w:jc w:val="both"/>
              <w:rPr>
                <w:color w:val="0000FF"/>
                <w:sz w:val="20"/>
                <w:szCs w:val="20"/>
                <w:highlight w:val="lightGray"/>
              </w:rPr>
            </w:pPr>
            <w:r w:rsidRPr="00CF4A70">
              <w:rPr>
                <w:rFonts w:ascii="Arial" w:hAnsi="Arial" w:cs="Arial"/>
                <w:color w:val="0000FF"/>
                <w:spacing w:val="-3"/>
                <w:sz w:val="20"/>
                <w:szCs w:val="20"/>
              </w:rPr>
              <w:t xml:space="preserve">To improve every students’ achievement in Science, Information Communication Technology (ITC) and Mathematics. </w:t>
            </w:r>
          </w:p>
        </w:tc>
        <w:tc>
          <w:tcPr>
            <w:tcW w:w="2694" w:type="dxa"/>
            <w:vMerge w:val="restart"/>
            <w:shd w:val="clear" w:color="auto" w:fill="auto"/>
          </w:tcPr>
          <w:p w14:paraId="5620A8A1" w14:textId="6A275C51" w:rsidR="00653F92" w:rsidRPr="00095579" w:rsidRDefault="00653F92" w:rsidP="00A05F71">
            <w:pPr>
              <w:rPr>
                <w:b/>
                <w:sz w:val="18"/>
                <w:szCs w:val="18"/>
              </w:rPr>
            </w:pPr>
            <w:r w:rsidRPr="00440DE6">
              <w:rPr>
                <w:rFonts w:ascii="Arial" w:hAnsi="Arial" w:cs="Arial"/>
                <w:color w:val="0000FF"/>
                <w:spacing w:val="-3"/>
                <w:sz w:val="20"/>
                <w:szCs w:val="20"/>
              </w:rPr>
              <w:t>This goal and strategies align with the FISO priority of Excellence in teaching and learning, and the focus upon the sixteen high impact teaching strategies to improve student learning outcomes.</w:t>
            </w:r>
          </w:p>
        </w:tc>
        <w:tc>
          <w:tcPr>
            <w:tcW w:w="6615" w:type="dxa"/>
            <w:shd w:val="clear" w:color="auto" w:fill="auto"/>
          </w:tcPr>
          <w:p w14:paraId="349F1D1E" w14:textId="34CF9097" w:rsidR="00653F92" w:rsidRPr="009878F8" w:rsidRDefault="00653F92" w:rsidP="000A20C5">
            <w:pPr>
              <w:pStyle w:val="Table-Entry"/>
              <w:jc w:val="both"/>
              <w:rPr>
                <w:rFonts w:eastAsiaTheme="minorHAnsi"/>
                <w:color w:val="0000FF"/>
                <w:spacing w:val="-3"/>
                <w:sz w:val="20"/>
                <w:szCs w:val="20"/>
                <w:lang w:val="en-AU"/>
              </w:rPr>
            </w:pPr>
            <w:r w:rsidRPr="009878F8">
              <w:rPr>
                <w:rFonts w:eastAsiaTheme="minorHAnsi"/>
                <w:color w:val="0000FF"/>
                <w:spacing w:val="-3"/>
                <w:sz w:val="20"/>
                <w:szCs w:val="20"/>
                <w:lang w:val="en-AU"/>
              </w:rPr>
              <w:t xml:space="preserve">Build practice excellence in </w:t>
            </w:r>
            <w:r w:rsidR="000A20C5">
              <w:rPr>
                <w:rFonts w:eastAsiaTheme="minorHAnsi"/>
                <w:color w:val="0000FF"/>
                <w:spacing w:val="-3"/>
                <w:sz w:val="20"/>
                <w:szCs w:val="20"/>
                <w:lang w:val="en-AU"/>
              </w:rPr>
              <w:t>STEM</w:t>
            </w:r>
            <w:r w:rsidRPr="009878F8">
              <w:rPr>
                <w:rFonts w:eastAsiaTheme="minorHAnsi"/>
                <w:color w:val="0000FF"/>
                <w:spacing w:val="-3"/>
                <w:sz w:val="20"/>
                <w:szCs w:val="20"/>
                <w:lang w:val="en-AU"/>
              </w:rPr>
              <w:t xml:space="preserve"> through targeted professional learning based upon the High Impact Teaching Strategies (HITS).</w:t>
            </w:r>
          </w:p>
        </w:tc>
        <w:tc>
          <w:tcPr>
            <w:tcW w:w="6615" w:type="dxa"/>
            <w:shd w:val="clear" w:color="auto" w:fill="auto"/>
          </w:tcPr>
          <w:p w14:paraId="50C74346" w14:textId="406C869D" w:rsidR="000F1529" w:rsidRPr="000F1529" w:rsidRDefault="000F1529" w:rsidP="000F1529">
            <w:pPr>
              <w:pStyle w:val="Table-Entry"/>
              <w:numPr>
                <w:ilvl w:val="0"/>
                <w:numId w:val="9"/>
              </w:numPr>
              <w:rPr>
                <w:color w:val="0000FF"/>
                <w:sz w:val="20"/>
                <w:szCs w:val="20"/>
              </w:rPr>
            </w:pPr>
            <w:r w:rsidRPr="000F1529">
              <w:rPr>
                <w:color w:val="0000FF"/>
                <w:sz w:val="20"/>
                <w:szCs w:val="20"/>
              </w:rPr>
              <w:t>The NAPLAN Relative Gain for Year 3 to Year 5 Numeracy outcomes to show:</w:t>
            </w:r>
          </w:p>
          <w:p w14:paraId="58BEAC95" w14:textId="1D4DF5CA" w:rsidR="000F1529" w:rsidRPr="000F1529" w:rsidRDefault="000F1529" w:rsidP="000F1529">
            <w:pPr>
              <w:pStyle w:val="Table-Entry"/>
              <w:numPr>
                <w:ilvl w:val="0"/>
                <w:numId w:val="8"/>
              </w:numPr>
              <w:rPr>
                <w:color w:val="0000FF"/>
                <w:sz w:val="20"/>
                <w:szCs w:val="20"/>
              </w:rPr>
            </w:pPr>
            <w:r w:rsidRPr="000F1529">
              <w:rPr>
                <w:color w:val="0000FF"/>
                <w:sz w:val="20"/>
                <w:szCs w:val="20"/>
              </w:rPr>
              <w:t xml:space="preserve">minimum of </w:t>
            </w:r>
            <w:r w:rsidR="003A04D1">
              <w:rPr>
                <w:color w:val="0000FF"/>
                <w:sz w:val="20"/>
                <w:szCs w:val="20"/>
              </w:rPr>
              <w:t>30</w:t>
            </w:r>
            <w:r w:rsidRPr="000F1529">
              <w:rPr>
                <w:color w:val="0000FF"/>
                <w:sz w:val="20"/>
                <w:szCs w:val="20"/>
              </w:rPr>
              <w:t xml:space="preserve"> per cent of students making high relative gain </w:t>
            </w:r>
          </w:p>
          <w:p w14:paraId="62559ADA" w14:textId="6B595EE7" w:rsidR="000F1529" w:rsidRPr="000F1529" w:rsidRDefault="000F1529" w:rsidP="000F1529">
            <w:pPr>
              <w:pStyle w:val="Table-Entry"/>
              <w:numPr>
                <w:ilvl w:val="0"/>
                <w:numId w:val="8"/>
              </w:numPr>
              <w:rPr>
                <w:b/>
                <w:color w:val="0000FF"/>
                <w:sz w:val="20"/>
                <w:szCs w:val="20"/>
              </w:rPr>
            </w:pPr>
            <w:r w:rsidRPr="000F1529">
              <w:rPr>
                <w:color w:val="0000FF"/>
                <w:sz w:val="20"/>
                <w:szCs w:val="20"/>
              </w:rPr>
              <w:t xml:space="preserve">maximum of </w:t>
            </w:r>
            <w:r w:rsidR="003A04D1">
              <w:rPr>
                <w:color w:val="0000FF"/>
                <w:sz w:val="20"/>
                <w:szCs w:val="20"/>
              </w:rPr>
              <w:t>20</w:t>
            </w:r>
            <w:r w:rsidRPr="000F1529">
              <w:rPr>
                <w:color w:val="0000FF"/>
                <w:sz w:val="20"/>
                <w:szCs w:val="20"/>
              </w:rPr>
              <w:t xml:space="preserve"> per cent making low relative gain, by 2020.</w:t>
            </w:r>
          </w:p>
          <w:p w14:paraId="72E4C8A4" w14:textId="77777777" w:rsidR="005C55CC" w:rsidRDefault="000F1529" w:rsidP="005C55CC">
            <w:pPr>
              <w:pStyle w:val="Table-Entry"/>
              <w:numPr>
                <w:ilvl w:val="0"/>
                <w:numId w:val="9"/>
              </w:numPr>
              <w:jc w:val="both"/>
              <w:rPr>
                <w:color w:val="0000FF"/>
                <w:sz w:val="20"/>
                <w:szCs w:val="20"/>
              </w:rPr>
            </w:pPr>
            <w:r w:rsidRPr="000F1529">
              <w:rPr>
                <w:color w:val="0000FF"/>
                <w:sz w:val="20"/>
                <w:szCs w:val="20"/>
              </w:rPr>
              <w:t>Students to make at least one Victorian Curriculum level of learning growth annually in Mathematics and Science.</w:t>
            </w:r>
          </w:p>
          <w:p w14:paraId="3C516BD6" w14:textId="70FE9D48" w:rsidR="00653F92" w:rsidRPr="005C55CC" w:rsidRDefault="000F1529" w:rsidP="005C55CC">
            <w:pPr>
              <w:pStyle w:val="Table-Entry"/>
              <w:numPr>
                <w:ilvl w:val="0"/>
                <w:numId w:val="9"/>
              </w:numPr>
              <w:jc w:val="both"/>
              <w:rPr>
                <w:color w:val="0000FF"/>
                <w:sz w:val="20"/>
                <w:szCs w:val="20"/>
              </w:rPr>
            </w:pPr>
            <w:r w:rsidRPr="005C55CC">
              <w:rPr>
                <w:color w:val="0000FF"/>
                <w:sz w:val="20"/>
                <w:szCs w:val="20"/>
              </w:rPr>
              <w:t>The per cent of students in the top two NAPLAN bands for Numeracy</w:t>
            </w:r>
            <w:r w:rsidRPr="005C55CC">
              <w:rPr>
                <w:i/>
                <w:color w:val="0000FF"/>
                <w:sz w:val="20"/>
                <w:szCs w:val="20"/>
              </w:rPr>
              <w:t xml:space="preserve"> </w:t>
            </w:r>
            <w:r w:rsidRPr="005C55CC">
              <w:rPr>
                <w:color w:val="0000FF"/>
                <w:sz w:val="20"/>
                <w:szCs w:val="20"/>
              </w:rPr>
              <w:t>will rise annually, being sustained above 2017 benchmarks.</w:t>
            </w:r>
          </w:p>
        </w:tc>
      </w:tr>
      <w:tr w:rsidR="00653F92" w14:paraId="7498B260" w14:textId="1AA2CF14" w:rsidTr="00665F3B">
        <w:trPr>
          <w:trHeight w:val="438"/>
        </w:trPr>
        <w:tc>
          <w:tcPr>
            <w:tcW w:w="6663" w:type="dxa"/>
            <w:vMerge/>
            <w:shd w:val="clear" w:color="auto" w:fill="auto"/>
          </w:tcPr>
          <w:p w14:paraId="309F908A" w14:textId="157F02AC" w:rsidR="00653F92" w:rsidRPr="00CF4A70" w:rsidRDefault="00653F92" w:rsidP="00653F92">
            <w:pPr>
              <w:pStyle w:val="Table-Entry"/>
              <w:jc w:val="both"/>
              <w:rPr>
                <w:rFonts w:eastAsiaTheme="minorHAnsi"/>
                <w:color w:val="0000FF"/>
                <w:spacing w:val="-3"/>
                <w:sz w:val="20"/>
                <w:szCs w:val="20"/>
                <w:lang w:val="en-AU"/>
              </w:rPr>
            </w:pPr>
          </w:p>
        </w:tc>
        <w:tc>
          <w:tcPr>
            <w:tcW w:w="2694" w:type="dxa"/>
            <w:vMerge/>
            <w:shd w:val="clear" w:color="auto" w:fill="auto"/>
          </w:tcPr>
          <w:p w14:paraId="7066DB1F" w14:textId="2BCE9E67" w:rsidR="00653F92" w:rsidRPr="00CC615B" w:rsidRDefault="00653F92" w:rsidP="00A05F71">
            <w:pPr>
              <w:spacing w:before="120"/>
              <w:rPr>
                <w:b/>
                <w:sz w:val="18"/>
                <w:szCs w:val="18"/>
              </w:rPr>
            </w:pPr>
          </w:p>
        </w:tc>
        <w:tc>
          <w:tcPr>
            <w:tcW w:w="6615" w:type="dxa"/>
            <w:shd w:val="clear" w:color="auto" w:fill="auto"/>
          </w:tcPr>
          <w:p w14:paraId="6716E694" w14:textId="3E8F5E60" w:rsidR="00653F92" w:rsidRPr="009878F8" w:rsidRDefault="00653F92" w:rsidP="00562519">
            <w:pPr>
              <w:tabs>
                <w:tab w:val="left" w:pos="3828"/>
              </w:tabs>
              <w:jc w:val="both"/>
              <w:rPr>
                <w:rFonts w:ascii="Arial" w:hAnsi="Arial" w:cs="Arial"/>
                <w:color w:val="0000FF"/>
                <w:spacing w:val="-3"/>
                <w:sz w:val="20"/>
                <w:szCs w:val="20"/>
              </w:rPr>
            </w:pPr>
            <w:r w:rsidRPr="009878F8">
              <w:rPr>
                <w:rFonts w:ascii="Arial" w:hAnsi="Arial" w:cs="Arial"/>
                <w:color w:val="0000FF"/>
                <w:spacing w:val="-3"/>
                <w:sz w:val="20"/>
                <w:szCs w:val="20"/>
              </w:rPr>
              <w:t>Orient students towards their future through real life learning experiences in local and global contexts.</w:t>
            </w:r>
            <w:r w:rsidR="003A04D1">
              <w:rPr>
                <w:rFonts w:ascii="Arial" w:hAnsi="Arial" w:cs="Arial"/>
                <w:color w:val="0000FF"/>
                <w:spacing w:val="-3"/>
                <w:sz w:val="20"/>
                <w:szCs w:val="20"/>
              </w:rPr>
              <w:t xml:space="preserve"> </w:t>
            </w:r>
          </w:p>
        </w:tc>
        <w:tc>
          <w:tcPr>
            <w:tcW w:w="6615" w:type="dxa"/>
            <w:shd w:val="clear" w:color="auto" w:fill="auto"/>
          </w:tcPr>
          <w:p w14:paraId="72EF000A" w14:textId="1D245800" w:rsidR="00653F92" w:rsidRDefault="00562519" w:rsidP="00A05F71">
            <w:pPr>
              <w:rPr>
                <w:sz w:val="18"/>
                <w:szCs w:val="18"/>
                <w:highlight w:val="lightGray"/>
              </w:rPr>
            </w:pPr>
            <w:r>
              <w:rPr>
                <w:rFonts w:ascii="Arial" w:hAnsi="Arial" w:cs="Arial"/>
                <w:color w:val="0000FF"/>
                <w:spacing w:val="-3"/>
                <w:sz w:val="20"/>
                <w:szCs w:val="20"/>
              </w:rPr>
              <w:t xml:space="preserve">Develop an international and interstate sister school relationship with other school’s named </w:t>
            </w:r>
            <w:r w:rsidRPr="003A04D1">
              <w:rPr>
                <w:rFonts w:ascii="Arial" w:hAnsi="Arial" w:cs="Arial"/>
                <w:i/>
                <w:color w:val="0000FF"/>
                <w:spacing w:val="-3"/>
                <w:sz w:val="20"/>
                <w:szCs w:val="20"/>
              </w:rPr>
              <w:t>Avondale.</w:t>
            </w:r>
          </w:p>
        </w:tc>
      </w:tr>
      <w:tr w:rsidR="00653F92" w14:paraId="55335813" w14:textId="61E43A44" w:rsidTr="00440DE6">
        <w:trPr>
          <w:trHeight w:val="557"/>
        </w:trPr>
        <w:tc>
          <w:tcPr>
            <w:tcW w:w="6663" w:type="dxa"/>
            <w:vMerge w:val="restart"/>
            <w:shd w:val="clear" w:color="auto" w:fill="auto"/>
          </w:tcPr>
          <w:p w14:paraId="14536367" w14:textId="315B13F0" w:rsidR="00653F92" w:rsidRPr="00CF4A70" w:rsidRDefault="00653F92" w:rsidP="00CF4A70">
            <w:pPr>
              <w:jc w:val="both"/>
              <w:rPr>
                <w:rFonts w:ascii="Verdana" w:hAnsi="Verdana"/>
                <w:sz w:val="20"/>
                <w:szCs w:val="20"/>
              </w:rPr>
            </w:pPr>
            <w:r w:rsidRPr="00CF4A70">
              <w:rPr>
                <w:rFonts w:ascii="Arial" w:hAnsi="Arial" w:cs="Arial"/>
                <w:color w:val="0000FF"/>
                <w:spacing w:val="-3"/>
                <w:sz w:val="20"/>
                <w:szCs w:val="20"/>
              </w:rPr>
              <w:t xml:space="preserve">To increase students’ capacity as active agents in shaping their learning. </w:t>
            </w:r>
          </w:p>
          <w:p w14:paraId="32FE5185" w14:textId="5E19285A" w:rsidR="00653F92" w:rsidRPr="00CF4A70" w:rsidRDefault="00653F92" w:rsidP="00653F92">
            <w:pPr>
              <w:spacing w:line="276" w:lineRule="auto"/>
              <w:jc w:val="both"/>
              <w:rPr>
                <w:rFonts w:ascii="Verdana" w:hAnsi="Verdana"/>
                <w:sz w:val="20"/>
                <w:szCs w:val="20"/>
              </w:rPr>
            </w:pPr>
            <w:r w:rsidRPr="00653F92">
              <w:rPr>
                <w:rFonts w:ascii="Arial" w:hAnsi="Arial" w:cs="Arial"/>
                <w:color w:val="0000FF"/>
                <w:spacing w:val="-3"/>
                <w:sz w:val="20"/>
                <w:szCs w:val="20"/>
              </w:rPr>
              <w:t xml:space="preserve"> </w:t>
            </w:r>
          </w:p>
        </w:tc>
        <w:tc>
          <w:tcPr>
            <w:tcW w:w="2694" w:type="dxa"/>
            <w:vMerge w:val="restart"/>
            <w:shd w:val="clear" w:color="auto" w:fill="auto"/>
          </w:tcPr>
          <w:p w14:paraId="1668E5F3" w14:textId="0DDB5663" w:rsidR="00653F92" w:rsidRPr="00095579" w:rsidRDefault="00653F92" w:rsidP="00A05F71">
            <w:pPr>
              <w:rPr>
                <w:b/>
                <w:sz w:val="18"/>
                <w:szCs w:val="18"/>
              </w:rPr>
            </w:pPr>
            <w:r w:rsidRPr="00440DE6">
              <w:rPr>
                <w:rFonts w:ascii="Arial" w:hAnsi="Arial" w:cs="Arial"/>
                <w:color w:val="0000FF"/>
                <w:spacing w:val="-3"/>
                <w:sz w:val="20"/>
                <w:szCs w:val="20"/>
              </w:rPr>
              <w:t>This goal and strategies align with the FISO priority of Positive climate for learning and initiative of Empowering students and building school pride.</w:t>
            </w:r>
          </w:p>
        </w:tc>
        <w:tc>
          <w:tcPr>
            <w:tcW w:w="6615" w:type="dxa"/>
            <w:shd w:val="clear" w:color="auto" w:fill="auto"/>
          </w:tcPr>
          <w:p w14:paraId="61B4B9EB" w14:textId="77777777" w:rsidR="00653F92" w:rsidRPr="009878F8" w:rsidRDefault="00653F92" w:rsidP="009878F8">
            <w:pPr>
              <w:jc w:val="both"/>
              <w:rPr>
                <w:rFonts w:ascii="Arial" w:hAnsi="Arial" w:cs="Arial"/>
                <w:color w:val="0000FF"/>
                <w:spacing w:val="-3"/>
                <w:sz w:val="20"/>
                <w:szCs w:val="20"/>
              </w:rPr>
            </w:pPr>
            <w:r w:rsidRPr="009878F8">
              <w:rPr>
                <w:rFonts w:ascii="Arial" w:hAnsi="Arial" w:cs="Arial"/>
                <w:color w:val="0000FF"/>
                <w:spacing w:val="-3"/>
                <w:sz w:val="20"/>
                <w:szCs w:val="20"/>
              </w:rPr>
              <w:t>Expand student choice of learning goals, activities, duration and in opportunities to be challenged.</w:t>
            </w:r>
          </w:p>
          <w:p w14:paraId="27E9F39B" w14:textId="77777777" w:rsidR="00653F92" w:rsidRPr="00665F3B" w:rsidRDefault="00653F92" w:rsidP="00A05F71">
            <w:pPr>
              <w:rPr>
                <w:sz w:val="18"/>
                <w:szCs w:val="18"/>
                <w:highlight w:val="lightGray"/>
              </w:rPr>
            </w:pPr>
          </w:p>
        </w:tc>
        <w:tc>
          <w:tcPr>
            <w:tcW w:w="6615" w:type="dxa"/>
            <w:shd w:val="clear" w:color="auto" w:fill="auto"/>
          </w:tcPr>
          <w:p w14:paraId="4DAA3B0E" w14:textId="77777777" w:rsidR="00A805A6" w:rsidRPr="00A805A6" w:rsidRDefault="00A805A6" w:rsidP="00A805A6">
            <w:pPr>
              <w:pStyle w:val="Table-Entry"/>
              <w:rPr>
                <w:color w:val="0000FF"/>
                <w:sz w:val="20"/>
                <w:szCs w:val="20"/>
              </w:rPr>
            </w:pPr>
            <w:r w:rsidRPr="00A805A6">
              <w:rPr>
                <w:color w:val="0000FF"/>
                <w:sz w:val="20"/>
                <w:szCs w:val="20"/>
              </w:rPr>
              <w:t>The NAPLAN Relative Gain for Year 3 to Year 5 Reading outcomes to show:</w:t>
            </w:r>
          </w:p>
          <w:p w14:paraId="16A8764F" w14:textId="6D439DF1" w:rsidR="00A805A6" w:rsidRPr="00A805A6" w:rsidRDefault="00A805A6" w:rsidP="00A805A6">
            <w:pPr>
              <w:pStyle w:val="Table-Entry"/>
              <w:numPr>
                <w:ilvl w:val="0"/>
                <w:numId w:val="8"/>
              </w:numPr>
              <w:rPr>
                <w:color w:val="0000FF"/>
                <w:sz w:val="20"/>
                <w:szCs w:val="20"/>
              </w:rPr>
            </w:pPr>
            <w:r w:rsidRPr="00A805A6">
              <w:rPr>
                <w:color w:val="0000FF"/>
                <w:sz w:val="20"/>
                <w:szCs w:val="20"/>
              </w:rPr>
              <w:t xml:space="preserve">minimum of </w:t>
            </w:r>
            <w:r w:rsidR="003852D5">
              <w:rPr>
                <w:color w:val="0000FF"/>
                <w:sz w:val="20"/>
                <w:szCs w:val="20"/>
              </w:rPr>
              <w:t>30</w:t>
            </w:r>
            <w:r w:rsidRPr="00A805A6">
              <w:rPr>
                <w:color w:val="0000FF"/>
                <w:sz w:val="20"/>
                <w:szCs w:val="20"/>
              </w:rPr>
              <w:t xml:space="preserve"> per cent of students making high relative gain </w:t>
            </w:r>
          </w:p>
          <w:p w14:paraId="0B9C30ED" w14:textId="3680B0DB" w:rsidR="00653F92" w:rsidRPr="00A805A6" w:rsidRDefault="00A805A6" w:rsidP="00A805A6">
            <w:pPr>
              <w:pStyle w:val="Table-Entry"/>
              <w:numPr>
                <w:ilvl w:val="0"/>
                <w:numId w:val="8"/>
              </w:numPr>
              <w:rPr>
                <w:b/>
                <w:color w:val="0000FF"/>
                <w:sz w:val="20"/>
                <w:szCs w:val="20"/>
              </w:rPr>
            </w:pPr>
            <w:r w:rsidRPr="00A805A6">
              <w:rPr>
                <w:color w:val="0000FF"/>
                <w:sz w:val="20"/>
                <w:szCs w:val="20"/>
              </w:rPr>
              <w:t xml:space="preserve">maximum of </w:t>
            </w:r>
            <w:r>
              <w:rPr>
                <w:color w:val="0000FF"/>
                <w:sz w:val="20"/>
                <w:szCs w:val="20"/>
              </w:rPr>
              <w:t xml:space="preserve">20 </w:t>
            </w:r>
            <w:r w:rsidRPr="00A805A6">
              <w:rPr>
                <w:color w:val="0000FF"/>
                <w:sz w:val="20"/>
                <w:szCs w:val="20"/>
              </w:rPr>
              <w:t>per cent making low relative gain, by 2020.</w:t>
            </w:r>
          </w:p>
        </w:tc>
      </w:tr>
      <w:tr w:rsidR="00653F92" w14:paraId="764A8805" w14:textId="020DAEFF" w:rsidTr="00665F3B">
        <w:trPr>
          <w:trHeight w:val="438"/>
        </w:trPr>
        <w:tc>
          <w:tcPr>
            <w:tcW w:w="6663" w:type="dxa"/>
            <w:vMerge/>
            <w:shd w:val="clear" w:color="auto" w:fill="auto"/>
          </w:tcPr>
          <w:p w14:paraId="18380085" w14:textId="346B52C7" w:rsidR="00653F92" w:rsidRPr="00653F92" w:rsidRDefault="00653F92" w:rsidP="00653F92">
            <w:pPr>
              <w:spacing w:line="276" w:lineRule="auto"/>
              <w:jc w:val="both"/>
              <w:rPr>
                <w:rFonts w:ascii="Arial" w:hAnsi="Arial" w:cs="Arial"/>
                <w:color w:val="0000FF"/>
                <w:spacing w:val="-3"/>
                <w:sz w:val="20"/>
                <w:szCs w:val="20"/>
              </w:rPr>
            </w:pPr>
          </w:p>
        </w:tc>
        <w:tc>
          <w:tcPr>
            <w:tcW w:w="2694" w:type="dxa"/>
            <w:vMerge/>
            <w:shd w:val="clear" w:color="auto" w:fill="auto"/>
          </w:tcPr>
          <w:p w14:paraId="2DC6B7C8" w14:textId="0ED4E3E8" w:rsidR="00653F92" w:rsidRPr="00CC615B" w:rsidRDefault="00653F92" w:rsidP="00A05F71">
            <w:pPr>
              <w:spacing w:before="120"/>
              <w:rPr>
                <w:b/>
                <w:sz w:val="18"/>
                <w:szCs w:val="18"/>
              </w:rPr>
            </w:pPr>
          </w:p>
        </w:tc>
        <w:tc>
          <w:tcPr>
            <w:tcW w:w="6615" w:type="dxa"/>
            <w:shd w:val="clear" w:color="auto" w:fill="auto"/>
          </w:tcPr>
          <w:p w14:paraId="50EB8497" w14:textId="7B62C90C" w:rsidR="00653F92" w:rsidRPr="00A805A6" w:rsidRDefault="00653F92" w:rsidP="00A805A6">
            <w:pPr>
              <w:jc w:val="both"/>
              <w:rPr>
                <w:rFonts w:ascii="Arial" w:hAnsi="Arial" w:cs="Arial"/>
                <w:color w:val="0000FF"/>
                <w:spacing w:val="-3"/>
                <w:sz w:val="20"/>
                <w:szCs w:val="20"/>
              </w:rPr>
            </w:pPr>
            <w:r w:rsidRPr="009878F8">
              <w:rPr>
                <w:rFonts w:ascii="Arial" w:hAnsi="Arial" w:cs="Arial"/>
                <w:color w:val="0000FF"/>
                <w:spacing w:val="-3"/>
                <w:sz w:val="20"/>
                <w:szCs w:val="20"/>
              </w:rPr>
              <w:t>To provide a range of stimulating opportunities for students to be actively engaged in reading, including the important transition from learning to read to reading to learn.</w:t>
            </w:r>
          </w:p>
        </w:tc>
        <w:tc>
          <w:tcPr>
            <w:tcW w:w="6615" w:type="dxa"/>
            <w:shd w:val="clear" w:color="auto" w:fill="auto"/>
          </w:tcPr>
          <w:p w14:paraId="61FF1745" w14:textId="020D9110" w:rsidR="00653F92" w:rsidRPr="00A805A6" w:rsidRDefault="00A805A6" w:rsidP="00A05F71">
            <w:pPr>
              <w:rPr>
                <w:rFonts w:ascii="Arial" w:hAnsi="Arial" w:cs="Arial"/>
                <w:color w:val="0000FF"/>
                <w:sz w:val="18"/>
                <w:szCs w:val="18"/>
                <w:highlight w:val="lightGray"/>
              </w:rPr>
            </w:pPr>
            <w:r w:rsidRPr="00A805A6">
              <w:rPr>
                <w:rFonts w:ascii="Arial" w:hAnsi="Arial" w:cs="Arial"/>
                <w:color w:val="0000FF"/>
                <w:sz w:val="20"/>
                <w:szCs w:val="20"/>
              </w:rPr>
              <w:t>The per cent of students in the top two NAPLAN bands for Reading</w:t>
            </w:r>
            <w:r w:rsidRPr="00A805A6">
              <w:rPr>
                <w:rFonts w:ascii="Arial" w:hAnsi="Arial" w:cs="Arial"/>
                <w:i/>
                <w:color w:val="0000FF"/>
                <w:sz w:val="20"/>
                <w:szCs w:val="20"/>
              </w:rPr>
              <w:t xml:space="preserve"> </w:t>
            </w:r>
            <w:r w:rsidRPr="00A805A6">
              <w:rPr>
                <w:rFonts w:ascii="Arial" w:hAnsi="Arial" w:cs="Arial"/>
                <w:color w:val="0000FF"/>
                <w:sz w:val="20"/>
                <w:szCs w:val="20"/>
              </w:rPr>
              <w:t>will rise annually, being s</w:t>
            </w:r>
            <w:r w:rsidRPr="00D272B2">
              <w:rPr>
                <w:rFonts w:ascii="Arial" w:hAnsi="Arial" w:cs="Arial"/>
                <w:color w:val="0000FF"/>
                <w:sz w:val="20"/>
                <w:szCs w:val="20"/>
              </w:rPr>
              <w:t>ustained above 2017 benchmarks.</w:t>
            </w:r>
          </w:p>
        </w:tc>
      </w:tr>
      <w:tr w:rsidR="00653F92" w14:paraId="08FC85D5" w14:textId="122C9979" w:rsidTr="00665F3B">
        <w:trPr>
          <w:trHeight w:val="438"/>
        </w:trPr>
        <w:tc>
          <w:tcPr>
            <w:tcW w:w="6663" w:type="dxa"/>
            <w:vMerge/>
            <w:shd w:val="clear" w:color="auto" w:fill="auto"/>
          </w:tcPr>
          <w:p w14:paraId="7335AB88" w14:textId="45836641" w:rsidR="00653F92" w:rsidRPr="00653F92" w:rsidRDefault="00653F92" w:rsidP="00653F92">
            <w:pPr>
              <w:spacing w:line="276" w:lineRule="auto"/>
              <w:jc w:val="both"/>
              <w:rPr>
                <w:rFonts w:ascii="Arial" w:hAnsi="Arial" w:cs="Arial"/>
                <w:color w:val="0000FF"/>
                <w:spacing w:val="-3"/>
                <w:sz w:val="20"/>
                <w:szCs w:val="20"/>
              </w:rPr>
            </w:pPr>
          </w:p>
        </w:tc>
        <w:tc>
          <w:tcPr>
            <w:tcW w:w="2694" w:type="dxa"/>
            <w:vMerge/>
            <w:shd w:val="clear" w:color="auto" w:fill="auto"/>
          </w:tcPr>
          <w:p w14:paraId="24511417" w14:textId="7158B571" w:rsidR="00653F92" w:rsidRPr="00CC615B" w:rsidRDefault="00653F92" w:rsidP="00A05F71">
            <w:pPr>
              <w:spacing w:before="120"/>
              <w:rPr>
                <w:b/>
                <w:sz w:val="18"/>
                <w:szCs w:val="18"/>
              </w:rPr>
            </w:pPr>
          </w:p>
        </w:tc>
        <w:tc>
          <w:tcPr>
            <w:tcW w:w="6615" w:type="dxa"/>
            <w:shd w:val="clear" w:color="auto" w:fill="auto"/>
          </w:tcPr>
          <w:p w14:paraId="2C20FFA7" w14:textId="08E2E7A6" w:rsidR="00653F92" w:rsidRPr="00A805A6" w:rsidRDefault="00653F92" w:rsidP="00A805A6">
            <w:pPr>
              <w:pStyle w:val="Table-Entry"/>
              <w:jc w:val="both"/>
              <w:rPr>
                <w:rFonts w:eastAsiaTheme="minorHAnsi"/>
                <w:color w:val="0000FF"/>
                <w:spacing w:val="-3"/>
                <w:sz w:val="20"/>
                <w:szCs w:val="20"/>
                <w:lang w:val="en-AU"/>
              </w:rPr>
            </w:pPr>
            <w:r w:rsidRPr="009878F8">
              <w:rPr>
                <w:rFonts w:eastAsiaTheme="minorHAnsi"/>
                <w:color w:val="0000FF"/>
                <w:spacing w:val="-3"/>
                <w:sz w:val="20"/>
                <w:szCs w:val="20"/>
                <w:lang w:val="en-AU"/>
              </w:rPr>
              <w:t>Identify leadership opportunities for all students that enhance their sense of being valued and as responsible contributors to their classroom and to the whole school.</w:t>
            </w:r>
          </w:p>
        </w:tc>
        <w:tc>
          <w:tcPr>
            <w:tcW w:w="6615" w:type="dxa"/>
            <w:shd w:val="clear" w:color="auto" w:fill="auto"/>
          </w:tcPr>
          <w:p w14:paraId="3DF31EB6" w14:textId="77777777" w:rsidR="00A805A6" w:rsidRPr="00A805A6" w:rsidRDefault="00A805A6" w:rsidP="00A805A6">
            <w:pPr>
              <w:pStyle w:val="Table-Entry"/>
              <w:jc w:val="both"/>
              <w:rPr>
                <w:i/>
                <w:color w:val="0000FF"/>
                <w:sz w:val="20"/>
                <w:szCs w:val="20"/>
              </w:rPr>
            </w:pPr>
            <w:r w:rsidRPr="00A805A6">
              <w:rPr>
                <w:color w:val="0000FF"/>
                <w:sz w:val="20"/>
                <w:szCs w:val="20"/>
              </w:rPr>
              <w:t xml:space="preserve">The Attitudes to School Survey factors of </w:t>
            </w:r>
          </w:p>
          <w:p w14:paraId="5408748C" w14:textId="37979B77" w:rsidR="00653F92" w:rsidRPr="00A805A6" w:rsidRDefault="003852D5" w:rsidP="00A805A6">
            <w:pPr>
              <w:pStyle w:val="Table-Entry"/>
              <w:jc w:val="both"/>
              <w:rPr>
                <w:color w:val="0000FF"/>
                <w:sz w:val="20"/>
                <w:szCs w:val="20"/>
              </w:rPr>
            </w:pPr>
            <w:r>
              <w:rPr>
                <w:color w:val="0000FF"/>
                <w:sz w:val="20"/>
                <w:szCs w:val="20"/>
              </w:rPr>
              <w:t>Stimulating learning will have 65</w:t>
            </w:r>
            <w:r w:rsidR="00A805A6" w:rsidRPr="00A805A6">
              <w:rPr>
                <w:color w:val="0000FF"/>
                <w:sz w:val="20"/>
                <w:szCs w:val="20"/>
              </w:rPr>
              <w:t xml:space="preserve"> per cent positive responses, and</w:t>
            </w:r>
            <w:r>
              <w:rPr>
                <w:color w:val="0000FF"/>
                <w:sz w:val="20"/>
                <w:szCs w:val="20"/>
              </w:rPr>
              <w:t xml:space="preserve"> Learning confidence will have 65</w:t>
            </w:r>
            <w:r w:rsidR="00A805A6" w:rsidRPr="00A805A6">
              <w:rPr>
                <w:color w:val="0000FF"/>
                <w:sz w:val="20"/>
                <w:szCs w:val="20"/>
              </w:rPr>
              <w:t xml:space="preserve"> per cent </w:t>
            </w:r>
            <w:r w:rsidR="00A805A6">
              <w:rPr>
                <w:color w:val="0000FF"/>
                <w:sz w:val="20"/>
                <w:szCs w:val="20"/>
              </w:rPr>
              <w:t>positive responses by 2021</w:t>
            </w:r>
          </w:p>
        </w:tc>
      </w:tr>
      <w:tr w:rsidR="00653F92" w14:paraId="799952FE" w14:textId="38395324" w:rsidTr="00665F3B">
        <w:trPr>
          <w:trHeight w:val="441"/>
        </w:trPr>
        <w:tc>
          <w:tcPr>
            <w:tcW w:w="6663" w:type="dxa"/>
            <w:vMerge w:val="restart"/>
            <w:shd w:val="clear" w:color="auto" w:fill="auto"/>
          </w:tcPr>
          <w:p w14:paraId="19BCEB1B" w14:textId="65899404" w:rsidR="00653F92" w:rsidRPr="00CF4A70" w:rsidRDefault="00653F92" w:rsidP="00653F92">
            <w:pPr>
              <w:jc w:val="both"/>
              <w:rPr>
                <w:rFonts w:ascii="Arial" w:hAnsi="Arial" w:cs="Arial"/>
                <w:color w:val="0000FF"/>
                <w:spacing w:val="-3"/>
                <w:sz w:val="20"/>
                <w:szCs w:val="20"/>
              </w:rPr>
            </w:pPr>
            <w:r w:rsidRPr="00CF4A70">
              <w:rPr>
                <w:rFonts w:ascii="Arial" w:hAnsi="Arial" w:cs="Arial"/>
                <w:color w:val="0000FF"/>
                <w:spacing w:val="-3"/>
                <w:sz w:val="20"/>
                <w:szCs w:val="20"/>
              </w:rPr>
              <w:t xml:space="preserve">To enhance students’ capacity as resilient, mindful, creative, inclusive and resourceful learners. </w:t>
            </w:r>
          </w:p>
        </w:tc>
        <w:tc>
          <w:tcPr>
            <w:tcW w:w="2694" w:type="dxa"/>
            <w:vMerge w:val="restart"/>
            <w:shd w:val="clear" w:color="auto" w:fill="auto"/>
          </w:tcPr>
          <w:p w14:paraId="2D2205B0" w14:textId="575A6003" w:rsidR="00653F92" w:rsidRPr="00095579" w:rsidRDefault="00653F92" w:rsidP="00A05F71">
            <w:pPr>
              <w:rPr>
                <w:b/>
                <w:sz w:val="18"/>
                <w:szCs w:val="18"/>
              </w:rPr>
            </w:pPr>
            <w:r w:rsidRPr="00440DE6">
              <w:rPr>
                <w:rFonts w:ascii="Arial" w:hAnsi="Arial" w:cs="Arial"/>
                <w:color w:val="0000FF"/>
                <w:spacing w:val="-3"/>
                <w:sz w:val="20"/>
                <w:szCs w:val="20"/>
              </w:rPr>
              <w:t>This goal and strategies align with the FISO initiative of Setting expectations and promoting inclusion, and reflect the development of student capabilities within the Victoria Curriculum.</w:t>
            </w:r>
          </w:p>
        </w:tc>
        <w:tc>
          <w:tcPr>
            <w:tcW w:w="6615" w:type="dxa"/>
            <w:shd w:val="clear" w:color="auto" w:fill="auto"/>
          </w:tcPr>
          <w:p w14:paraId="5F0E686D" w14:textId="77777777" w:rsidR="00653F92" w:rsidRPr="00816717" w:rsidRDefault="00653F92" w:rsidP="00816717">
            <w:pPr>
              <w:jc w:val="both"/>
              <w:rPr>
                <w:rFonts w:ascii="Arial" w:hAnsi="Arial" w:cs="Arial"/>
                <w:color w:val="0000FF"/>
                <w:spacing w:val="-3"/>
                <w:sz w:val="20"/>
                <w:szCs w:val="20"/>
              </w:rPr>
            </w:pPr>
            <w:r w:rsidRPr="00816717">
              <w:rPr>
                <w:rFonts w:ascii="Arial" w:hAnsi="Arial" w:cs="Arial"/>
                <w:color w:val="0000FF"/>
                <w:spacing w:val="-3"/>
                <w:sz w:val="20"/>
                <w:szCs w:val="20"/>
              </w:rPr>
              <w:t>Develop a coherent whole school approach to social and emotional learning to positively impact on attitudes to learning, relationships and achievement.</w:t>
            </w:r>
          </w:p>
          <w:p w14:paraId="6EDB9969" w14:textId="77777777" w:rsidR="00653F92" w:rsidRPr="00665F3B" w:rsidRDefault="00653F92" w:rsidP="00A05F71">
            <w:pPr>
              <w:rPr>
                <w:sz w:val="18"/>
                <w:szCs w:val="18"/>
                <w:highlight w:val="lightGray"/>
              </w:rPr>
            </w:pPr>
          </w:p>
        </w:tc>
        <w:tc>
          <w:tcPr>
            <w:tcW w:w="6615" w:type="dxa"/>
            <w:shd w:val="clear" w:color="auto" w:fill="auto"/>
          </w:tcPr>
          <w:p w14:paraId="58516750" w14:textId="2E501341" w:rsidR="00BE50E2" w:rsidRPr="00BE50E2" w:rsidRDefault="00BE50E2" w:rsidP="00BE50E2">
            <w:pPr>
              <w:pStyle w:val="Table-Entry"/>
              <w:rPr>
                <w:color w:val="0000FF"/>
                <w:sz w:val="20"/>
                <w:szCs w:val="20"/>
              </w:rPr>
            </w:pPr>
            <w:r w:rsidRPr="00BE50E2">
              <w:rPr>
                <w:color w:val="0000FF"/>
                <w:sz w:val="20"/>
                <w:szCs w:val="20"/>
              </w:rPr>
              <w:t xml:space="preserve">Parent opinion of student social skills, motivation and school connectedness will show an increasing and sustained trend </w:t>
            </w:r>
            <w:r>
              <w:rPr>
                <w:color w:val="0000FF"/>
                <w:sz w:val="20"/>
                <w:szCs w:val="20"/>
              </w:rPr>
              <w:t>of improvement.</w:t>
            </w:r>
          </w:p>
          <w:p w14:paraId="0A376F23" w14:textId="1FDA148C" w:rsidR="00653F92" w:rsidRPr="00BE50E2" w:rsidRDefault="00BE50E2" w:rsidP="00BE50E2">
            <w:pPr>
              <w:pStyle w:val="Table-Entry"/>
              <w:rPr>
                <w:color w:val="0000FF"/>
                <w:sz w:val="20"/>
                <w:szCs w:val="20"/>
              </w:rPr>
            </w:pPr>
            <w:r w:rsidRPr="00BE50E2">
              <w:rPr>
                <w:color w:val="0000FF"/>
                <w:sz w:val="20"/>
                <w:szCs w:val="20"/>
              </w:rPr>
              <w:t xml:space="preserve">Teacher assessment of student personal and social capabilities, and of student critical and creative thinking will have at least </w:t>
            </w:r>
            <w:r>
              <w:rPr>
                <w:color w:val="0000FF"/>
                <w:sz w:val="20"/>
                <w:szCs w:val="20"/>
              </w:rPr>
              <w:t>70</w:t>
            </w:r>
            <w:r w:rsidRPr="00BE50E2">
              <w:rPr>
                <w:color w:val="0000FF"/>
                <w:sz w:val="20"/>
                <w:szCs w:val="20"/>
              </w:rPr>
              <w:t xml:space="preserve"> per cent of students meeting the assessment standards (two-year bands).</w:t>
            </w:r>
          </w:p>
        </w:tc>
      </w:tr>
      <w:tr w:rsidR="00653F92" w14:paraId="2E3E87FD" w14:textId="0BAF4A24" w:rsidTr="00665F3B">
        <w:trPr>
          <w:trHeight w:val="438"/>
        </w:trPr>
        <w:tc>
          <w:tcPr>
            <w:tcW w:w="6663" w:type="dxa"/>
            <w:vMerge/>
            <w:shd w:val="clear" w:color="auto" w:fill="auto"/>
          </w:tcPr>
          <w:p w14:paraId="4511A8DA" w14:textId="160EF91F" w:rsidR="00653F92" w:rsidRPr="00653F92" w:rsidRDefault="00653F92" w:rsidP="00653F92">
            <w:pPr>
              <w:spacing w:line="276" w:lineRule="auto"/>
              <w:jc w:val="both"/>
              <w:rPr>
                <w:rFonts w:ascii="Arial" w:hAnsi="Arial" w:cs="Arial"/>
                <w:color w:val="0000FF"/>
                <w:spacing w:val="-3"/>
                <w:sz w:val="20"/>
                <w:szCs w:val="20"/>
              </w:rPr>
            </w:pPr>
          </w:p>
        </w:tc>
        <w:tc>
          <w:tcPr>
            <w:tcW w:w="2694" w:type="dxa"/>
            <w:vMerge/>
            <w:shd w:val="clear" w:color="auto" w:fill="auto"/>
          </w:tcPr>
          <w:p w14:paraId="0A11D23D" w14:textId="1C31FF08" w:rsidR="00653F92" w:rsidRPr="00CC615B" w:rsidRDefault="00653F92" w:rsidP="00A05F71">
            <w:pPr>
              <w:spacing w:before="120"/>
              <w:rPr>
                <w:b/>
                <w:sz w:val="18"/>
                <w:szCs w:val="18"/>
              </w:rPr>
            </w:pPr>
          </w:p>
        </w:tc>
        <w:tc>
          <w:tcPr>
            <w:tcW w:w="6615" w:type="dxa"/>
            <w:shd w:val="clear" w:color="auto" w:fill="auto"/>
          </w:tcPr>
          <w:p w14:paraId="606E3FAA" w14:textId="77777777" w:rsidR="00653F92" w:rsidRPr="00653F92" w:rsidRDefault="00653F92" w:rsidP="00653F92">
            <w:pPr>
              <w:pStyle w:val="Table-Entry"/>
              <w:jc w:val="both"/>
              <w:rPr>
                <w:rFonts w:eastAsiaTheme="minorHAnsi"/>
                <w:color w:val="0000FF"/>
                <w:spacing w:val="-3"/>
                <w:sz w:val="20"/>
                <w:szCs w:val="20"/>
                <w:lang w:val="en-AU"/>
              </w:rPr>
            </w:pPr>
            <w:r w:rsidRPr="00653F92">
              <w:rPr>
                <w:rFonts w:eastAsiaTheme="minorHAnsi"/>
                <w:color w:val="0000FF"/>
                <w:spacing w:val="-3"/>
                <w:sz w:val="20"/>
                <w:szCs w:val="20"/>
                <w:lang w:val="en-AU"/>
              </w:rPr>
              <w:t>Build students’ capacity to apply critical and creative thinking approaches to their learning.</w:t>
            </w:r>
          </w:p>
          <w:p w14:paraId="493FC392" w14:textId="77777777" w:rsidR="00653F92" w:rsidRDefault="00653F92" w:rsidP="00A05F71">
            <w:pPr>
              <w:rPr>
                <w:sz w:val="18"/>
                <w:szCs w:val="18"/>
                <w:highlight w:val="lightGray"/>
              </w:rPr>
            </w:pPr>
          </w:p>
        </w:tc>
        <w:tc>
          <w:tcPr>
            <w:tcW w:w="6615" w:type="dxa"/>
            <w:shd w:val="clear" w:color="auto" w:fill="auto"/>
          </w:tcPr>
          <w:p w14:paraId="2A6092D2" w14:textId="77777777" w:rsidR="00BE50E2" w:rsidRPr="00BE50E2" w:rsidRDefault="00BE50E2" w:rsidP="00BE50E2">
            <w:pPr>
              <w:pStyle w:val="Table-Entry"/>
              <w:jc w:val="both"/>
              <w:rPr>
                <w:i/>
                <w:color w:val="0000FF"/>
                <w:sz w:val="20"/>
                <w:szCs w:val="20"/>
              </w:rPr>
            </w:pPr>
            <w:r w:rsidRPr="00BE50E2">
              <w:rPr>
                <w:color w:val="0000FF"/>
                <w:sz w:val="20"/>
                <w:szCs w:val="20"/>
              </w:rPr>
              <w:t xml:space="preserve">The Attitudes to School Survey factors of </w:t>
            </w:r>
          </w:p>
          <w:p w14:paraId="5EBBF1F0" w14:textId="6E016435" w:rsidR="00653F92" w:rsidRPr="00C932F1" w:rsidRDefault="003852D5" w:rsidP="00BE50E2">
            <w:pPr>
              <w:pStyle w:val="Table-Entry"/>
              <w:jc w:val="both"/>
              <w:rPr>
                <w:color w:val="0000FF"/>
                <w:sz w:val="20"/>
                <w:szCs w:val="20"/>
              </w:rPr>
            </w:pPr>
            <w:r>
              <w:rPr>
                <w:color w:val="0000FF"/>
                <w:sz w:val="20"/>
                <w:szCs w:val="20"/>
              </w:rPr>
              <w:t>Resilience will have 65</w:t>
            </w:r>
            <w:r w:rsidR="00BE50E2" w:rsidRPr="00BE50E2">
              <w:rPr>
                <w:color w:val="0000FF"/>
                <w:sz w:val="20"/>
                <w:szCs w:val="20"/>
              </w:rPr>
              <w:t xml:space="preserve"> per cent positive responses, and </w:t>
            </w:r>
            <w:r>
              <w:rPr>
                <w:color w:val="0000FF"/>
                <w:sz w:val="20"/>
                <w:szCs w:val="20"/>
              </w:rPr>
              <w:t>School Connectedness will have 70</w:t>
            </w:r>
            <w:r w:rsidR="00BE50E2" w:rsidRPr="00BE50E2">
              <w:rPr>
                <w:color w:val="0000FF"/>
                <w:sz w:val="20"/>
                <w:szCs w:val="20"/>
              </w:rPr>
              <w:t xml:space="preserve"> per c</w:t>
            </w:r>
            <w:r w:rsidR="00BE50E2">
              <w:rPr>
                <w:color w:val="0000FF"/>
                <w:sz w:val="20"/>
                <w:szCs w:val="20"/>
              </w:rPr>
              <w:t>ent positive responses by 2021.</w:t>
            </w:r>
          </w:p>
        </w:tc>
      </w:tr>
    </w:tbl>
    <w:p w14:paraId="49995CCD" w14:textId="7C1336D4" w:rsidR="005D1881" w:rsidRPr="00E23FC3" w:rsidRDefault="005D1881" w:rsidP="00BE50E2">
      <w:pPr>
        <w:tabs>
          <w:tab w:val="left" w:pos="1875"/>
        </w:tabs>
      </w:pPr>
    </w:p>
    <w:sectPr w:rsidR="005D1881" w:rsidRPr="00E23FC3" w:rsidSect="0062345F">
      <w:headerReference w:type="default" r:id="rId13"/>
      <w:footerReference w:type="default" r:id="rId14"/>
      <w:pgSz w:w="23814" w:h="16839" w:orient="landscape" w:code="8"/>
      <w:pgMar w:top="993" w:right="1440" w:bottom="1440" w:left="1440" w:header="708" w:footer="0" w:gutter="0"/>
      <w:cols w:space="8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9AC74" w14:textId="77777777" w:rsidR="00AA0C16" w:rsidRDefault="00AA0C16" w:rsidP="00974440">
      <w:r>
        <w:separator/>
      </w:r>
    </w:p>
  </w:endnote>
  <w:endnote w:type="continuationSeparator" w:id="0">
    <w:p w14:paraId="3A3343DE" w14:textId="77777777" w:rsidR="00AA0C16" w:rsidRDefault="00AA0C16" w:rsidP="0097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5D34" w14:textId="6C2010B1" w:rsidR="00974440" w:rsidRDefault="00882D68" w:rsidP="00882D68">
    <w:pPr>
      <w:pStyle w:val="Footer"/>
      <w:tabs>
        <w:tab w:val="clear" w:pos="9026"/>
        <w:tab w:val="right" w:pos="12616"/>
      </w:tabs>
    </w:pPr>
    <w:r w:rsidRPr="00882D68">
      <w:rPr>
        <w:sz w:val="16"/>
        <w:szCs w:val="16"/>
      </w:rPr>
      <w:fldChar w:fldCharType="begin"/>
    </w:r>
    <w:r w:rsidRPr="00882D68">
      <w:rPr>
        <w:sz w:val="16"/>
        <w:szCs w:val="16"/>
      </w:rPr>
      <w:instrText xml:space="preserve"> FILENAME  \p  \* MERGEFORMAT </w:instrText>
    </w:r>
    <w:r w:rsidRPr="00882D68">
      <w:rPr>
        <w:sz w:val="16"/>
        <w:szCs w:val="16"/>
      </w:rPr>
      <w:fldChar w:fldCharType="separate"/>
    </w:r>
    <w:r w:rsidR="000858B5">
      <w:rPr>
        <w:noProof/>
        <w:sz w:val="16"/>
        <w:szCs w:val="16"/>
      </w:rPr>
      <w:t>U:\PEER REVIEW 2017\Avondale Primary School Strategic Plan 2018-21.docx</w:t>
    </w:r>
    <w:r w:rsidRPr="00882D68">
      <w:rPr>
        <w:sz w:val="16"/>
        <w:szCs w:val="16"/>
      </w:rPr>
      <w:fldChar w:fldCharType="end"/>
    </w:r>
    <w:r w:rsidR="00DE45AD" w:rsidRPr="00DE45AD">
      <w:rPr>
        <w:noProof/>
        <w:lang w:eastAsia="en-AU"/>
      </w:rPr>
      <w:drawing>
        <wp:inline distT="0" distB="0" distL="0" distR="0" wp14:anchorId="5D06818A" wp14:editId="2A4D1C9A">
          <wp:extent cx="13373100" cy="830468"/>
          <wp:effectExtent l="0" t="0" r="0" b="8255"/>
          <wp:docPr id="1" name="Picture 1" descr="C:\Users\09384802\Pictures\FISO footer A3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84802\Pictures\FISO footer A3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9982" cy="8389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0FE09" w14:textId="77777777" w:rsidR="00AA0C16" w:rsidRDefault="00AA0C16" w:rsidP="00974440">
      <w:r>
        <w:separator/>
      </w:r>
    </w:p>
  </w:footnote>
  <w:footnote w:type="continuationSeparator" w:id="0">
    <w:p w14:paraId="0B5E6A17" w14:textId="77777777" w:rsidR="00AA0C16" w:rsidRDefault="00AA0C16" w:rsidP="0097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E168" w14:textId="3AF6661A" w:rsidR="004725D1" w:rsidRPr="0062345F" w:rsidRDefault="00AA0C16" w:rsidP="0062345F">
    <w:pPr>
      <w:pStyle w:val="Footer"/>
      <w:tabs>
        <w:tab w:val="clear" w:pos="9026"/>
        <w:tab w:val="right" w:pos="12616"/>
      </w:tabs>
      <w:jc w:val="right"/>
      <w:rPr>
        <w:sz w:val="18"/>
      </w:rPr>
    </w:pPr>
    <w:sdt>
      <w:sdtPr>
        <w:rPr>
          <w:sz w:val="18"/>
        </w:rPr>
        <w:id w:val="-2123068487"/>
        <w:docPartObj>
          <w:docPartGallery w:val="Watermarks"/>
          <w:docPartUnique/>
        </w:docPartObj>
      </w:sdtPr>
      <w:sdtEndPr/>
      <w:sdtContent>
        <w:r>
          <w:rPr>
            <w:noProof/>
            <w:sz w:val="18"/>
            <w:lang w:val="en-US"/>
          </w:rPr>
          <w:pict w14:anchorId="42392D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62345F" w:rsidRPr="0062345F">
      <w:rPr>
        <w:sz w:val="18"/>
      </w:rPr>
      <w:t xml:space="preserve"> Published: March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93B"/>
    <w:multiLevelType w:val="hybridMultilevel"/>
    <w:tmpl w:val="A4362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C6D96"/>
    <w:multiLevelType w:val="hybridMultilevel"/>
    <w:tmpl w:val="7E34FB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0B56C3"/>
    <w:multiLevelType w:val="multilevel"/>
    <w:tmpl w:val="7E34FB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4E71AF7"/>
    <w:multiLevelType w:val="hybridMultilevel"/>
    <w:tmpl w:val="363CE384"/>
    <w:lvl w:ilvl="0" w:tplc="67FA622A">
      <w:numFmt w:val="bullet"/>
      <w:lvlText w:val="-"/>
      <w:lvlJc w:val="left"/>
      <w:pPr>
        <w:ind w:left="720" w:hanging="360"/>
      </w:pPr>
      <w:rPr>
        <w:rFonts w:ascii="Verdana" w:eastAsia="Times New Roman"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9C173A"/>
    <w:multiLevelType w:val="hybridMultilevel"/>
    <w:tmpl w:val="751E8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B21440"/>
    <w:multiLevelType w:val="hybridMultilevel"/>
    <w:tmpl w:val="080E4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5D615C"/>
    <w:multiLevelType w:val="hybridMultilevel"/>
    <w:tmpl w:val="86FE2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BF3FA2"/>
    <w:multiLevelType w:val="hybridMultilevel"/>
    <w:tmpl w:val="C686A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975EF5"/>
    <w:multiLevelType w:val="hybridMultilevel"/>
    <w:tmpl w:val="6B040418"/>
    <w:lvl w:ilvl="0" w:tplc="6DF02D7C">
      <w:start w:val="1"/>
      <w:numFmt w:val="bullet"/>
      <w:lvlText w:val=""/>
      <w:lvlJc w:val="left"/>
      <w:pPr>
        <w:tabs>
          <w:tab w:val="num" w:pos="360"/>
        </w:tabs>
        <w:ind w:left="360" w:hanging="360"/>
      </w:pPr>
      <w:rPr>
        <w:rFonts w:ascii="Symbol" w:hAnsi="Symbol" w:hint="default"/>
        <w:color w:val="0066FF"/>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C760D74"/>
    <w:multiLevelType w:val="hybridMultilevel"/>
    <w:tmpl w:val="848C9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7"/>
  </w:num>
  <w:num w:numId="6">
    <w:abstractNumId w:val="6"/>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45"/>
    <w:rsid w:val="0001290E"/>
    <w:rsid w:val="0001550E"/>
    <w:rsid w:val="000159DE"/>
    <w:rsid w:val="000366F3"/>
    <w:rsid w:val="000471C8"/>
    <w:rsid w:val="00051AFD"/>
    <w:rsid w:val="00055235"/>
    <w:rsid w:val="000858B5"/>
    <w:rsid w:val="000925E5"/>
    <w:rsid w:val="000940D9"/>
    <w:rsid w:val="00095FB8"/>
    <w:rsid w:val="000A15F3"/>
    <w:rsid w:val="000A20C5"/>
    <w:rsid w:val="000A469C"/>
    <w:rsid w:val="000C2706"/>
    <w:rsid w:val="000F1529"/>
    <w:rsid w:val="001148BF"/>
    <w:rsid w:val="00161EDE"/>
    <w:rsid w:val="00194246"/>
    <w:rsid w:val="001C1C92"/>
    <w:rsid w:val="001F7B2C"/>
    <w:rsid w:val="0025465D"/>
    <w:rsid w:val="00260719"/>
    <w:rsid w:val="00274510"/>
    <w:rsid w:val="002A4359"/>
    <w:rsid w:val="002A52B0"/>
    <w:rsid w:val="002A6E77"/>
    <w:rsid w:val="002B14ED"/>
    <w:rsid w:val="002B6AA6"/>
    <w:rsid w:val="00300E45"/>
    <w:rsid w:val="00322898"/>
    <w:rsid w:val="00356F7D"/>
    <w:rsid w:val="00367C8D"/>
    <w:rsid w:val="003852D5"/>
    <w:rsid w:val="00387A1A"/>
    <w:rsid w:val="00397465"/>
    <w:rsid w:val="003A04D1"/>
    <w:rsid w:val="003A67F0"/>
    <w:rsid w:val="003A73ED"/>
    <w:rsid w:val="003B4C29"/>
    <w:rsid w:val="003D3F40"/>
    <w:rsid w:val="003E6DD0"/>
    <w:rsid w:val="00407ADF"/>
    <w:rsid w:val="00440DE6"/>
    <w:rsid w:val="004568F8"/>
    <w:rsid w:val="0046256B"/>
    <w:rsid w:val="004725D1"/>
    <w:rsid w:val="0047280E"/>
    <w:rsid w:val="004B5DD7"/>
    <w:rsid w:val="004C044E"/>
    <w:rsid w:val="004C6B75"/>
    <w:rsid w:val="004E7450"/>
    <w:rsid w:val="00520115"/>
    <w:rsid w:val="00542AB9"/>
    <w:rsid w:val="0054608F"/>
    <w:rsid w:val="00562519"/>
    <w:rsid w:val="00582A13"/>
    <w:rsid w:val="005A61C0"/>
    <w:rsid w:val="005B0635"/>
    <w:rsid w:val="005B0742"/>
    <w:rsid w:val="005C55CC"/>
    <w:rsid w:val="005D1881"/>
    <w:rsid w:val="005E6A1C"/>
    <w:rsid w:val="005F2D03"/>
    <w:rsid w:val="005F7189"/>
    <w:rsid w:val="0062345F"/>
    <w:rsid w:val="00624C9C"/>
    <w:rsid w:val="00632BFE"/>
    <w:rsid w:val="00653F92"/>
    <w:rsid w:val="006569E2"/>
    <w:rsid w:val="00665F3B"/>
    <w:rsid w:val="006935E6"/>
    <w:rsid w:val="006E44AB"/>
    <w:rsid w:val="006E69E4"/>
    <w:rsid w:val="006F5C37"/>
    <w:rsid w:val="00707695"/>
    <w:rsid w:val="00722CB1"/>
    <w:rsid w:val="007274A1"/>
    <w:rsid w:val="007316E4"/>
    <w:rsid w:val="00735A4B"/>
    <w:rsid w:val="007630A0"/>
    <w:rsid w:val="007656C7"/>
    <w:rsid w:val="00770280"/>
    <w:rsid w:val="00773BA5"/>
    <w:rsid w:val="007833C9"/>
    <w:rsid w:val="00795460"/>
    <w:rsid w:val="0080062C"/>
    <w:rsid w:val="00806298"/>
    <w:rsid w:val="008138B6"/>
    <w:rsid w:val="00816717"/>
    <w:rsid w:val="00844EAB"/>
    <w:rsid w:val="00882D68"/>
    <w:rsid w:val="008A7687"/>
    <w:rsid w:val="008A7EAA"/>
    <w:rsid w:val="008C0562"/>
    <w:rsid w:val="008E4759"/>
    <w:rsid w:val="009024E2"/>
    <w:rsid w:val="00907788"/>
    <w:rsid w:val="00974440"/>
    <w:rsid w:val="009872A9"/>
    <w:rsid w:val="009878F8"/>
    <w:rsid w:val="00991F58"/>
    <w:rsid w:val="009B32CC"/>
    <w:rsid w:val="009C1955"/>
    <w:rsid w:val="009D3CDE"/>
    <w:rsid w:val="00A805A6"/>
    <w:rsid w:val="00A83E3E"/>
    <w:rsid w:val="00A94321"/>
    <w:rsid w:val="00A9733C"/>
    <w:rsid w:val="00AA0C16"/>
    <w:rsid w:val="00AC222C"/>
    <w:rsid w:val="00B10F75"/>
    <w:rsid w:val="00B1702A"/>
    <w:rsid w:val="00B23E83"/>
    <w:rsid w:val="00B3044C"/>
    <w:rsid w:val="00B85BE6"/>
    <w:rsid w:val="00BA77A4"/>
    <w:rsid w:val="00BE50E2"/>
    <w:rsid w:val="00C100E7"/>
    <w:rsid w:val="00C470C4"/>
    <w:rsid w:val="00C53249"/>
    <w:rsid w:val="00C57A73"/>
    <w:rsid w:val="00C75C52"/>
    <w:rsid w:val="00C932F1"/>
    <w:rsid w:val="00CA7CF2"/>
    <w:rsid w:val="00CC615B"/>
    <w:rsid w:val="00CF4A70"/>
    <w:rsid w:val="00CF5ED9"/>
    <w:rsid w:val="00D0715E"/>
    <w:rsid w:val="00D12765"/>
    <w:rsid w:val="00D272B2"/>
    <w:rsid w:val="00D8689A"/>
    <w:rsid w:val="00DA0748"/>
    <w:rsid w:val="00DA6410"/>
    <w:rsid w:val="00DC072B"/>
    <w:rsid w:val="00DD0650"/>
    <w:rsid w:val="00DD12F8"/>
    <w:rsid w:val="00DE45AD"/>
    <w:rsid w:val="00E23FC3"/>
    <w:rsid w:val="00E257F3"/>
    <w:rsid w:val="00E5659F"/>
    <w:rsid w:val="00E67E9B"/>
    <w:rsid w:val="00E81392"/>
    <w:rsid w:val="00E87ACA"/>
    <w:rsid w:val="00EA551B"/>
    <w:rsid w:val="00EB6A68"/>
    <w:rsid w:val="00EB7105"/>
    <w:rsid w:val="00EC4E52"/>
    <w:rsid w:val="00EE7142"/>
    <w:rsid w:val="00F208D7"/>
    <w:rsid w:val="00F4144D"/>
    <w:rsid w:val="00F446EB"/>
    <w:rsid w:val="00FA308C"/>
    <w:rsid w:val="00FB721C"/>
    <w:rsid w:val="00FC1E23"/>
    <w:rsid w:val="00FC3A97"/>
    <w:rsid w:val="00FC4CF3"/>
    <w:rsid w:val="00FD51B4"/>
    <w:rsid w:val="00FE4F63"/>
    <w:rsid w:val="00FF4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995C9E"/>
  <w15:docId w15:val="{ADEE3281-29FF-4885-96FA-76F2141A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E23"/>
    <w:rPr>
      <w:color w:val="0000FF" w:themeColor="hyperlink"/>
      <w:u w:val="single"/>
    </w:rPr>
  </w:style>
  <w:style w:type="paragraph" w:styleId="BalloonText">
    <w:name w:val="Balloon Text"/>
    <w:basedOn w:val="Normal"/>
    <w:link w:val="BalloonTextChar"/>
    <w:uiPriority w:val="99"/>
    <w:semiHidden/>
    <w:unhideWhenUsed/>
    <w:rsid w:val="00FF453B"/>
    <w:rPr>
      <w:rFonts w:ascii="Tahoma" w:hAnsi="Tahoma" w:cs="Tahoma"/>
      <w:sz w:val="16"/>
      <w:szCs w:val="16"/>
    </w:rPr>
  </w:style>
  <w:style w:type="character" w:customStyle="1" w:styleId="BalloonTextChar">
    <w:name w:val="Balloon Text Char"/>
    <w:basedOn w:val="DefaultParagraphFont"/>
    <w:link w:val="BalloonText"/>
    <w:uiPriority w:val="99"/>
    <w:semiHidden/>
    <w:rsid w:val="00FF453B"/>
    <w:rPr>
      <w:rFonts w:ascii="Tahoma" w:hAnsi="Tahoma" w:cs="Tahoma"/>
      <w:sz w:val="16"/>
      <w:szCs w:val="16"/>
    </w:rPr>
  </w:style>
  <w:style w:type="paragraph" w:styleId="Header">
    <w:name w:val="header"/>
    <w:basedOn w:val="Normal"/>
    <w:link w:val="HeaderChar"/>
    <w:uiPriority w:val="99"/>
    <w:unhideWhenUsed/>
    <w:rsid w:val="00974440"/>
    <w:pPr>
      <w:tabs>
        <w:tab w:val="center" w:pos="4513"/>
        <w:tab w:val="right" w:pos="9026"/>
      </w:tabs>
    </w:pPr>
  </w:style>
  <w:style w:type="character" w:customStyle="1" w:styleId="HeaderChar">
    <w:name w:val="Header Char"/>
    <w:basedOn w:val="DefaultParagraphFont"/>
    <w:link w:val="Header"/>
    <w:uiPriority w:val="99"/>
    <w:rsid w:val="00974440"/>
  </w:style>
  <w:style w:type="paragraph" w:styleId="Footer">
    <w:name w:val="footer"/>
    <w:basedOn w:val="Normal"/>
    <w:link w:val="FooterChar"/>
    <w:uiPriority w:val="99"/>
    <w:unhideWhenUsed/>
    <w:rsid w:val="00974440"/>
    <w:pPr>
      <w:tabs>
        <w:tab w:val="center" w:pos="4513"/>
        <w:tab w:val="right" w:pos="9026"/>
      </w:tabs>
    </w:pPr>
  </w:style>
  <w:style w:type="character" w:customStyle="1" w:styleId="FooterChar">
    <w:name w:val="Footer Char"/>
    <w:basedOn w:val="DefaultParagraphFont"/>
    <w:link w:val="Footer"/>
    <w:uiPriority w:val="99"/>
    <w:rsid w:val="00974440"/>
  </w:style>
  <w:style w:type="paragraph" w:styleId="ListParagraph">
    <w:name w:val="List Paragraph"/>
    <w:aliases w:val="List Paragraph1,List Paragraph11"/>
    <w:basedOn w:val="Normal"/>
    <w:uiPriority w:val="34"/>
    <w:qFormat/>
    <w:rsid w:val="006F5C37"/>
    <w:pPr>
      <w:ind w:left="720"/>
      <w:contextualSpacing/>
    </w:pPr>
  </w:style>
  <w:style w:type="paragraph" w:customStyle="1" w:styleId="Table-Entry">
    <w:name w:val="Table - Entry"/>
    <w:basedOn w:val="Normal"/>
    <w:rsid w:val="00CF4A70"/>
    <w:pPr>
      <w:widowControl w:val="0"/>
      <w:tabs>
        <w:tab w:val="left" w:pos="205"/>
      </w:tabs>
      <w:autoSpaceDE w:val="0"/>
      <w:autoSpaceDN w:val="0"/>
      <w:adjustRightInd w:val="0"/>
    </w:pPr>
    <w:rPr>
      <w:rFonts w:ascii="Arial" w:eastAsia="Times New Roman" w:hAnsi="Arial" w:cs="Arial"/>
      <w:color w:val="737277"/>
      <w:sz w:val="18"/>
      <w:szCs w:val="18"/>
      <w:lang w:val="en-US"/>
    </w:rPr>
  </w:style>
  <w:style w:type="paragraph" w:styleId="NormalWeb">
    <w:name w:val="Normal (Web)"/>
    <w:basedOn w:val="Normal"/>
    <w:uiPriority w:val="99"/>
    <w:semiHidden/>
    <w:unhideWhenUsed/>
    <w:rsid w:val="004C6B75"/>
    <w:pPr>
      <w:spacing w:before="100" w:beforeAutospacing="1" w:after="100" w:afterAutospacing="1"/>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78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b18ed191-9664-4865-9546-49bc3f5dd491">
      <Value>3</Value>
    </TaxCatchAll>
    <Improvement_x0020_Cycle_x0020_Phase xmlns="2fb8e541-c96b-4620-b82c-f319e82f9fb1">
      <Value>Prioritise and set goals</Value>
    </Improvement_x0020_Cycle_x0020_Phase>
    <Improvement_x0020_Cycle_x0020_Area xmlns="d2d43896-245d-412b-9865-a0e2354e9942">
      <Value>Strategic planning</Value>
    </Improvement_x0020_Cycle_x0020_Area>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43F7C5F5C14F9340876FA4348C3A639C" ma:contentTypeVersion="10" ma:contentTypeDescription="DET Document" ma:contentTypeScope="" ma:versionID="314a941fc15459ce03d1c1a3e71d7654">
  <xsd:schema xmlns:xsd="http://www.w3.org/2001/XMLSchema" xmlns:xs="http://www.w3.org/2001/XMLSchema" xmlns:p="http://schemas.microsoft.com/office/2006/metadata/properties" xmlns:ns2="http://schemas.microsoft.com/Sharepoint/v3" xmlns:ns3="b18ed191-9664-4865-9546-49bc3f5dd491" xmlns:ns4="2fb8e541-c96b-4620-b82c-f319e82f9fb1" xmlns:ns5="d2d43896-245d-412b-9865-a0e2354e9942" xmlns:ns6="http://schemas.microsoft.com/sharepoint/v4" targetNamespace="http://schemas.microsoft.com/office/2006/metadata/properties" ma:root="true" ma:fieldsID="fadc31abd56709831055e250d02510ac" ns2:_="" ns3:_="" ns4:_="" ns5:_="" ns6:_="">
    <xsd:import namespace="http://schemas.microsoft.com/Sharepoint/v3"/>
    <xsd:import namespace="b18ed191-9664-4865-9546-49bc3f5dd491"/>
    <xsd:import namespace="2fb8e541-c96b-4620-b82c-f319e82f9fb1"/>
    <xsd:import namespace="d2d43896-245d-412b-9865-a0e2354e994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SecClassTaxHTField0" minOccurs="0"/>
                <xsd:element ref="ns2:DET_EDRMS_Description" minOccurs="0"/>
                <xsd:element ref="ns4:Improvement_x0020_Cycle_x0020_Phase" minOccurs="0"/>
                <xsd:element ref="ns5:Improvement_x0020_Cycle_x0020_Are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b8e541-c96b-4620-b82c-f319e82f9fb1" elementFormDefault="qualified">
    <xsd:import namespace="http://schemas.microsoft.com/office/2006/documentManagement/types"/>
    <xsd:import namespace="http://schemas.microsoft.com/office/infopath/2007/PartnerControls"/>
    <xsd:element name="Improvement_x0020_Cycle_x0020_Phase" ma:index="18" nillable="true" ma:displayName="Improvement Cycle Phase" ma:internalName="Improvement_x0020_Cycle_x0020_Phase">
      <xsd:complexType>
        <xsd:complexContent>
          <xsd:extension base="dms:MultiChoice">
            <xsd:sequence>
              <xsd:element name="Value" maxOccurs="unbounded" minOccurs="0" nillable="true">
                <xsd:simpleType>
                  <xsd:restriction base="dms:Choice">
                    <xsd:enumeration value="Evaluate and diagnose"/>
                    <xsd:enumeration value="Prioritise and set goals"/>
                    <xsd:enumeration value="Develop and plan"/>
                    <xsd:enumeration value="Implement and monito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43896-245d-412b-9865-a0e2354e9942" elementFormDefault="qualified">
    <xsd:import namespace="http://schemas.microsoft.com/office/2006/documentManagement/types"/>
    <xsd:import namespace="http://schemas.microsoft.com/office/infopath/2007/PartnerControls"/>
    <xsd:element name="Improvement_x0020_Cycle_x0020_Area" ma:index="19" nillable="true" ma:displayName="Improvement Cycle Area" ma:internalName="Improvement_x0020_Cycle_x0020_Area">
      <xsd:complexType>
        <xsd:complexContent>
          <xsd:extension base="dms:MultiChoice">
            <xsd:sequence>
              <xsd:element name="Value" maxOccurs="unbounded" minOccurs="0" nillable="true">
                <xsd:simpleType>
                  <xsd:restriction base="dms:Choice">
                    <xsd:enumeration value="Self-evaluation"/>
                    <xsd:enumeration value="School reviews"/>
                    <xsd:enumeration value="Annual reporting"/>
                    <xsd:enumeration value="Strategic planning"/>
                    <xsd:enumeration value="Annual implementation plan"/>
                    <xsd:enumeration value="Improvement measur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B6D12-B58A-4479-9E2C-BA2596EFC98A}">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b18ed191-9664-4865-9546-49bc3f5dd491"/>
    <ds:schemaRef ds:uri="2fb8e541-c96b-4620-b82c-f319e82f9fb1"/>
    <ds:schemaRef ds:uri="d2d43896-245d-412b-9865-a0e2354e9942"/>
  </ds:schemaRefs>
</ds:datastoreItem>
</file>

<file path=customXml/itemProps2.xml><?xml version="1.0" encoding="utf-8"?>
<ds:datastoreItem xmlns:ds="http://schemas.openxmlformats.org/officeDocument/2006/customXml" ds:itemID="{DA014C02-A3C6-4F85-A0A9-76ED45260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8ed191-9664-4865-9546-49bc3f5dd491"/>
    <ds:schemaRef ds:uri="2fb8e541-c96b-4620-b82c-f319e82f9fb1"/>
    <ds:schemaRef ds:uri="d2d43896-245d-412b-9865-a0e2354e994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17618-35B7-4C77-888E-50D8F7EE5073}">
  <ds:schemaRefs>
    <ds:schemaRef ds:uri="http://schemas.microsoft.com/sharepoint/events"/>
  </ds:schemaRefs>
</ds:datastoreItem>
</file>

<file path=customXml/itemProps4.xml><?xml version="1.0" encoding="utf-8"?>
<ds:datastoreItem xmlns:ds="http://schemas.openxmlformats.org/officeDocument/2006/customXml" ds:itemID="{877F5965-2F51-4836-A798-09D616DBB06D}">
  <ds:schemaRefs>
    <ds:schemaRef ds:uri="http://schemas.microsoft.com/sharepoint/v3/contenttype/forms"/>
  </ds:schemaRefs>
</ds:datastoreItem>
</file>

<file path=customXml/itemProps5.xml><?xml version="1.0" encoding="utf-8"?>
<ds:datastoreItem xmlns:ds="http://schemas.openxmlformats.org/officeDocument/2006/customXml" ds:itemID="{5EB83503-B373-1845-8D75-27143BF9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Strategic Plan Template</vt:lpstr>
    </vt:vector>
  </TitlesOfParts>
  <Company>DEECD</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Template</dc:title>
  <dc:creator>Willimott, Andrew G</dc:creator>
  <cp:lastModifiedBy>Microsoft Office User</cp:lastModifiedBy>
  <cp:revision>2</cp:revision>
  <cp:lastPrinted>2017-11-14T21:45:00Z</cp:lastPrinted>
  <dcterms:created xsi:type="dcterms:W3CDTF">2018-03-06T22:43:00Z</dcterms:created>
  <dcterms:modified xsi:type="dcterms:W3CDTF">2018-03-06T22:43:00Z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0x010100C1A95F885C0B4A62AE4D0515D220750C0043F7C5F5C14F9340876FA4348C3A639C</vt:lpwstr>
  </property>
  <property fmtid="{D5CDD505-2E9C-101B-9397-08002B2CF9AE}" pid="3" name="DET_EDRMS_RCS">
    <vt:lpwstr>3;#1.2.2 Project Documentation|a3ce4c3c-7960-4756-834e-8cbbf9028802</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UniqueId">
    <vt:lpwstr>{9985f797-5b6f-4a3f-a10a-60eaab009035}</vt:lpwstr>
  </property>
  <property fmtid="{D5CDD505-2E9C-101B-9397-08002B2CF9AE}" pid="7" name="RecordPoint_ActiveItemWebId">
    <vt:lpwstr>{2fb8e541-c96b-4620-b82c-f319e82f9fb1}</vt:lpwstr>
  </property>
  <property fmtid="{D5CDD505-2E9C-101B-9397-08002B2CF9AE}" pid="8" name="RecordPoint_ActiveItemSiteId">
    <vt:lpwstr>{06caf94d-253e-4f56-bbf8-27ec51f6806e}</vt:lpwstr>
  </property>
  <property fmtid="{D5CDD505-2E9C-101B-9397-08002B2CF9AE}" pid="9" name="RecordPoint_ActiveItemListId">
    <vt:lpwstr>{d2d43896-245d-412b-9865-a0e2354e9942}</vt:lpwstr>
  </property>
  <property fmtid="{D5CDD505-2E9C-101B-9397-08002B2CF9AE}" pid="10" name="RecordPoint_SubmissionCompleted">
    <vt:lpwstr>2017-03-29T09:14:22.4664949+11:00</vt:lpwstr>
  </property>
  <property fmtid="{D5CDD505-2E9C-101B-9397-08002B2CF9AE}" pid="11" name="RecordPoint_RecordNumberSubmitted">
    <vt:lpwstr>R0000168146</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